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26E4" w14:textId="0B97D2DD" w:rsidR="0009031E" w:rsidRPr="0009031E" w:rsidRDefault="00D0299C" w:rsidP="006F05B5">
      <w:pPr>
        <w:pStyle w:val="Corpodeltesto21"/>
        <w:spacing w:line="360" w:lineRule="auto"/>
        <w:jc w:val="center"/>
        <w:rPr>
          <w:rFonts w:ascii="Verdana" w:hAnsi="Verdana" w:cs="Tahoma"/>
          <w:b/>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p>
    <w:p w14:paraId="2B8CC5A2" w14:textId="77777777" w:rsidR="0009031E" w:rsidRPr="0009031E" w:rsidRDefault="0009031E" w:rsidP="006F05B5">
      <w:pPr>
        <w:widowControl/>
        <w:suppressAutoHyphens/>
        <w:adjustRightInd/>
        <w:spacing w:line="360" w:lineRule="auto"/>
        <w:jc w:val="center"/>
        <w:rPr>
          <w:rFonts w:ascii="Verdana" w:hAnsi="Verdana" w:cs="Tahoma"/>
          <w:b/>
          <w:kern w:val="1"/>
          <w:lang w:eastAsia="ar-SA"/>
        </w:rPr>
      </w:pPr>
    </w:p>
    <w:p w14:paraId="5286924B" w14:textId="1059EAD4" w:rsidR="0009031E" w:rsidRPr="0009031E" w:rsidRDefault="0009031E" w:rsidP="006F05B5">
      <w:pPr>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t>ACCORDO DI SERVIZIO PER L’UTILIZZO DEI SERVIZI DEL NODO TELEMATICO DI INTERS</w:t>
      </w:r>
      <w:r w:rsidR="00CA7353">
        <w:rPr>
          <w:rFonts w:ascii="Verdana" w:hAnsi="Verdana" w:cs="Tahoma"/>
          <w:b/>
          <w:kern w:val="1"/>
          <w:lang w:eastAsia="ar-SA"/>
        </w:rPr>
        <w:t>C</w:t>
      </w:r>
      <w:r w:rsidRPr="0009031E">
        <w:rPr>
          <w:rFonts w:ascii="Verdana" w:hAnsi="Verdana" w:cs="Tahoma"/>
          <w:b/>
          <w:kern w:val="1"/>
          <w:lang w:eastAsia="ar-SA"/>
        </w:rPr>
        <w:t>AMBIO (</w:t>
      </w:r>
      <w:proofErr w:type="spellStart"/>
      <w:r w:rsidRPr="0009031E">
        <w:rPr>
          <w:rFonts w:ascii="Verdana" w:hAnsi="Verdana" w:cs="Tahoma"/>
          <w:b/>
          <w:kern w:val="1"/>
          <w:lang w:eastAsia="ar-SA"/>
        </w:rPr>
        <w:t>NoTI</w:t>
      </w:r>
      <w:proofErr w:type="spellEnd"/>
      <w:r w:rsidRPr="0009031E">
        <w:rPr>
          <w:rFonts w:ascii="Verdana" w:hAnsi="Verdana" w:cs="Tahoma"/>
          <w:b/>
          <w:kern w:val="1"/>
          <w:lang w:eastAsia="ar-SA"/>
        </w:rPr>
        <w:t>-ER)</w:t>
      </w:r>
    </w:p>
    <w:p w14:paraId="0FA73B2A" w14:textId="1FFAD783" w:rsidR="0009031E" w:rsidRPr="00164270" w:rsidRDefault="0009031E" w:rsidP="006F05B5">
      <w:pPr>
        <w:spacing w:line="360" w:lineRule="auto"/>
        <w:ind w:left="3969"/>
        <w:rPr>
          <w:rFonts w:ascii="Verdana" w:hAnsi="Verdana" w:cs="Tahoma"/>
          <w:b/>
          <w:kern w:val="1"/>
          <w:lang w:eastAsia="ar-SA"/>
        </w:rPr>
      </w:pPr>
      <w:r w:rsidRPr="00164270">
        <w:rPr>
          <w:rFonts w:ascii="Verdana" w:hAnsi="Verdana" w:cs="Tahoma"/>
          <w:b/>
          <w:kern w:val="1"/>
          <w:lang w:eastAsia="ar-SA"/>
        </w:rPr>
        <w:t>TRA</w:t>
      </w:r>
    </w:p>
    <w:p w14:paraId="1D956DA9" w14:textId="77777777" w:rsidR="0009031E" w:rsidRPr="0009031E" w:rsidRDefault="0009031E" w:rsidP="006F05B5">
      <w:pPr>
        <w:widowControl/>
        <w:tabs>
          <w:tab w:val="left" w:pos="576"/>
        </w:tabs>
        <w:suppressAutoHyphens/>
        <w:adjustRightInd/>
        <w:spacing w:line="360" w:lineRule="auto"/>
        <w:jc w:val="left"/>
        <w:rPr>
          <w:rFonts w:ascii="Verdana" w:hAnsi="Verdana"/>
          <w:kern w:val="1"/>
          <w:lang w:eastAsia="ar-SA"/>
        </w:rPr>
      </w:pPr>
    </w:p>
    <w:p w14:paraId="089CB71A" w14:textId="6CA67C4B" w:rsidR="0009031E" w:rsidRPr="0009031E" w:rsidRDefault="0009031E" w:rsidP="006F05B5">
      <w:pPr>
        <w:widowControl/>
        <w:suppressAutoHyphens/>
        <w:adjustRightInd/>
        <w:spacing w:after="120" w:line="360" w:lineRule="auto"/>
        <w:rPr>
          <w:rFonts w:ascii="Verdana" w:eastAsia="Lucida Sans Unicode" w:hAnsi="Verdana" w:cs="Tahoma"/>
          <w:kern w:val="1"/>
          <w:lang w:eastAsia="ar-SA"/>
        </w:rPr>
      </w:pPr>
      <w:r w:rsidRPr="0009031E">
        <w:rPr>
          <w:rFonts w:ascii="Verdana" w:eastAsia="Lucida Sans Unicode" w:hAnsi="Verdana" w:cs="Tahoma"/>
          <w:kern w:val="1"/>
          <w:lang w:eastAsia="ar-SA"/>
        </w:rPr>
        <w:t xml:space="preserve"> - ……………….. (di seguito denominato E</w:t>
      </w:r>
      <w:r w:rsidR="00A12566">
        <w:rPr>
          <w:rFonts w:ascii="Verdana" w:eastAsia="Lucida Sans Unicode" w:hAnsi="Verdana" w:cs="Tahoma"/>
          <w:kern w:val="1"/>
          <w:lang w:eastAsia="ar-SA"/>
        </w:rPr>
        <w:t>n</w:t>
      </w:r>
      <w:r w:rsidRPr="0009031E">
        <w:rPr>
          <w:rFonts w:ascii="Verdana" w:eastAsia="Lucida Sans Unicode" w:hAnsi="Verdana" w:cs="Tahoma"/>
          <w:kern w:val="1"/>
          <w:lang w:eastAsia="ar-SA"/>
        </w:rPr>
        <w:t>te) C.F./P. IV</w:t>
      </w:r>
      <w:r w:rsidR="005F50C8">
        <w:rPr>
          <w:rFonts w:ascii="Verdana" w:eastAsia="Lucida Sans Unicode" w:hAnsi="Verdana" w:cs="Tahoma"/>
          <w:kern w:val="1"/>
          <w:lang w:eastAsia="ar-SA"/>
        </w:rPr>
        <w:t>A</w:t>
      </w:r>
      <w:r w:rsidRPr="0009031E">
        <w:rPr>
          <w:rFonts w:ascii="Verdana" w:eastAsia="Lucida Sans Unicode" w:hAnsi="Verdana" w:cs="Tahoma"/>
          <w:kern w:val="1"/>
          <w:lang w:eastAsia="ar-SA"/>
        </w:rPr>
        <w:t xml:space="preserve"> ………………, con sede legale in </w:t>
      </w:r>
      <w:proofErr w:type="gramStart"/>
      <w:r w:rsidRPr="0009031E">
        <w:rPr>
          <w:rFonts w:ascii="Verdana" w:eastAsia="Lucida Sans Unicode" w:hAnsi="Verdana" w:cs="Tahoma"/>
          <w:kern w:val="1"/>
          <w:lang w:eastAsia="ar-SA"/>
        </w:rPr>
        <w:t>……</w:t>
      </w:r>
      <w:r w:rsidR="0016724E">
        <w:rPr>
          <w:rFonts w:ascii="Verdana" w:eastAsia="Lucida Sans Unicode" w:hAnsi="Verdana" w:cs="Tahoma"/>
          <w:kern w:val="1"/>
          <w:lang w:eastAsia="ar-SA"/>
        </w:rPr>
        <w:t>.</w:t>
      </w:r>
      <w:proofErr w:type="gramEnd"/>
      <w:r w:rsidRPr="0009031E">
        <w:rPr>
          <w:rFonts w:ascii="Verdana" w:eastAsia="Lucida Sans Unicode" w:hAnsi="Verdana" w:cs="Tahoma"/>
          <w:kern w:val="1"/>
          <w:lang w:eastAsia="ar-SA"/>
        </w:rPr>
        <w:t>…</w:t>
      </w:r>
      <w:r w:rsidR="0016724E">
        <w:rPr>
          <w:rFonts w:ascii="Verdana" w:eastAsia="Lucida Sans Unicode" w:hAnsi="Verdana" w:cs="Tahoma"/>
          <w:kern w:val="1"/>
          <w:lang w:eastAsia="ar-SA"/>
        </w:rPr>
        <w:t>.</w:t>
      </w:r>
      <w:r w:rsidRPr="0009031E">
        <w:rPr>
          <w:rFonts w:ascii="Verdana" w:eastAsia="Lucida Sans Unicode" w:hAnsi="Verdana" w:cs="Tahoma"/>
          <w:kern w:val="1"/>
          <w:lang w:eastAsia="ar-SA"/>
        </w:rPr>
        <w:t>……</w:t>
      </w:r>
      <w:r w:rsidR="0016724E">
        <w:rPr>
          <w:rFonts w:ascii="Verdana" w:eastAsia="Lucida Sans Unicode" w:hAnsi="Verdana" w:cs="Tahoma"/>
          <w:kern w:val="1"/>
          <w:lang w:eastAsia="ar-SA"/>
        </w:rPr>
        <w:t>.</w:t>
      </w:r>
      <w:r w:rsidRPr="0009031E">
        <w:rPr>
          <w:rFonts w:ascii="Verdana" w:eastAsia="Lucida Sans Unicode" w:hAnsi="Verdana" w:cs="Tahoma"/>
          <w:kern w:val="1"/>
          <w:lang w:eastAsia="ar-SA"/>
        </w:rPr>
        <w:t>……</w:t>
      </w:r>
      <w:r w:rsidR="0016724E">
        <w:rPr>
          <w:rFonts w:ascii="Verdana" w:eastAsia="Lucida Sans Unicode" w:hAnsi="Verdana" w:cs="Tahoma"/>
          <w:kern w:val="1"/>
          <w:lang w:eastAsia="ar-SA"/>
        </w:rPr>
        <w:t>.……..</w:t>
      </w:r>
      <w:r w:rsidRPr="0009031E">
        <w:rPr>
          <w:rFonts w:ascii="Verdana" w:eastAsia="Lucida Sans Unicode" w:hAnsi="Verdana" w:cs="Tahoma"/>
          <w:kern w:val="1"/>
          <w:lang w:eastAsia="ar-SA"/>
        </w:rPr>
        <w:t>…</w:t>
      </w:r>
      <w:r w:rsidR="0016724E">
        <w:rPr>
          <w:rFonts w:ascii="Verdana" w:eastAsia="Lucida Sans Unicode" w:hAnsi="Verdana" w:cs="Tahoma"/>
          <w:kern w:val="1"/>
          <w:lang w:eastAsia="ar-SA"/>
        </w:rPr>
        <w:t>.</w:t>
      </w:r>
      <w:r w:rsidRPr="0009031E">
        <w:rPr>
          <w:rFonts w:ascii="Verdana" w:eastAsia="Lucida Sans Unicode" w:hAnsi="Verdana" w:cs="Tahoma"/>
          <w:kern w:val="1"/>
          <w:lang w:eastAsia="ar-SA"/>
        </w:rPr>
        <w:t>…, in persona del legale rappresentante …………</w:t>
      </w:r>
      <w:r w:rsidR="0016724E">
        <w:rPr>
          <w:rFonts w:ascii="Verdana" w:eastAsia="Lucida Sans Unicode" w:hAnsi="Verdana" w:cs="Tahoma"/>
          <w:kern w:val="1"/>
          <w:lang w:eastAsia="ar-SA"/>
        </w:rPr>
        <w:t>………….</w:t>
      </w:r>
      <w:r w:rsidRPr="0009031E">
        <w:rPr>
          <w:rFonts w:ascii="Verdana" w:eastAsia="Lucida Sans Unicode" w:hAnsi="Verdana" w:cs="Tahoma"/>
          <w:kern w:val="1"/>
          <w:lang w:eastAsia="ar-SA"/>
        </w:rPr>
        <w:t>……….., C.F. ……………………, domiciliato ai fini del presente atto presso la sede dell’Ente;</w:t>
      </w:r>
    </w:p>
    <w:p w14:paraId="7F291797" w14:textId="77777777" w:rsidR="0009031E" w:rsidRPr="0029645B" w:rsidRDefault="0009031E" w:rsidP="006F05B5">
      <w:pPr>
        <w:widowControl/>
        <w:suppressAutoHyphens/>
        <w:adjustRightInd/>
        <w:spacing w:after="120" w:line="360" w:lineRule="auto"/>
        <w:jc w:val="center"/>
        <w:rPr>
          <w:rFonts w:ascii="Verdana" w:eastAsia="Lucida Sans Unicode" w:hAnsi="Verdana" w:cs="Tahoma"/>
          <w:b/>
          <w:bCs/>
          <w:kern w:val="1"/>
          <w:lang w:eastAsia="ar-SA"/>
        </w:rPr>
      </w:pPr>
      <w:r w:rsidRPr="0029645B">
        <w:rPr>
          <w:rFonts w:ascii="Verdana" w:eastAsia="Lucida Sans Unicode" w:hAnsi="Verdana" w:cs="Tahoma"/>
          <w:b/>
          <w:bCs/>
          <w:kern w:val="1"/>
          <w:lang w:eastAsia="ar-SA"/>
        </w:rPr>
        <w:t>E</w:t>
      </w:r>
    </w:p>
    <w:p w14:paraId="50DA404D" w14:textId="3DB2EE15" w:rsidR="00680589" w:rsidRPr="00B1216D" w:rsidRDefault="0009031E" w:rsidP="00680589">
      <w:pPr>
        <w:widowControl/>
        <w:suppressAutoHyphens/>
        <w:adjustRightInd/>
        <w:spacing w:after="120" w:line="360" w:lineRule="auto"/>
        <w:rPr>
          <w:rFonts w:ascii="Verdana" w:hAnsi="Verdana" w:cs="Tahoma"/>
          <w:kern w:val="2"/>
          <w:lang w:eastAsia="ar-SA"/>
        </w:rPr>
      </w:pPr>
      <w:r w:rsidRPr="0009031E">
        <w:rPr>
          <w:rFonts w:ascii="Verdana" w:eastAsia="Lucida Sans Unicode" w:hAnsi="Verdana" w:cs="Tahoma"/>
          <w:kern w:val="1"/>
          <w:lang w:eastAsia="ar-SA"/>
        </w:rPr>
        <w:t xml:space="preserve"> </w:t>
      </w:r>
      <w:r w:rsidR="00B14814" w:rsidRPr="00B14814">
        <w:rPr>
          <w:rFonts w:ascii="Verdana" w:eastAsia="Lucida Sans Unicode" w:hAnsi="Verdana" w:cs="Tahoma"/>
          <w:kern w:val="2"/>
          <w:lang w:eastAsia="ar-SA"/>
        </w:rPr>
        <w:t xml:space="preserve"> – Intercent-ER, Agenzia regionale per lo sviluppo dei mercati telematici, </w:t>
      </w:r>
      <w:r w:rsidR="00B14814" w:rsidRPr="00B14814">
        <w:rPr>
          <w:rFonts w:ascii="Verdana" w:hAnsi="Verdana" w:cs="Tahoma"/>
          <w:kern w:val="2"/>
          <w:lang w:eastAsia="ar-SA"/>
        </w:rPr>
        <w:t>(</w:t>
      </w:r>
      <w:r w:rsidR="00445761">
        <w:rPr>
          <w:rFonts w:ascii="Verdana" w:hAnsi="Verdana" w:cs="Tahoma"/>
          <w:kern w:val="2"/>
          <w:lang w:eastAsia="ar-SA"/>
        </w:rPr>
        <w:t>d</w:t>
      </w:r>
      <w:r w:rsidR="00B14814" w:rsidRPr="00B14814">
        <w:rPr>
          <w:rFonts w:ascii="Verdana" w:hAnsi="Verdana" w:cs="Tahoma"/>
          <w:kern w:val="2"/>
          <w:lang w:eastAsia="ar-SA"/>
        </w:rPr>
        <w:t>i seguito denominato più brevemente “Intercent-ER”)</w:t>
      </w:r>
      <w:r w:rsidR="00B14814" w:rsidRPr="00B14814">
        <w:rPr>
          <w:rFonts w:ascii="Verdana" w:eastAsia="Lucida Sans Unicode" w:hAnsi="Verdana" w:cs="Tahoma"/>
          <w:bCs/>
          <w:color w:val="000000"/>
          <w:kern w:val="2"/>
          <w:lang w:eastAsia="ar-SA"/>
        </w:rPr>
        <w:t>, c</w:t>
      </w:r>
      <w:r w:rsidR="004C107D">
        <w:rPr>
          <w:rFonts w:ascii="Verdana" w:eastAsia="Lucida Sans Unicode" w:hAnsi="Verdana" w:cs="Tahoma"/>
          <w:bCs/>
          <w:color w:val="000000"/>
          <w:kern w:val="2"/>
          <w:lang w:eastAsia="ar-SA"/>
        </w:rPr>
        <w:t>o</w:t>
      </w:r>
      <w:r w:rsidR="00CE6FD0">
        <w:rPr>
          <w:rFonts w:ascii="Verdana" w:eastAsia="Lucida Sans Unicode" w:hAnsi="Verdana" w:cs="Tahoma"/>
          <w:bCs/>
          <w:color w:val="000000"/>
          <w:kern w:val="2"/>
          <w:lang w:eastAsia="ar-SA"/>
        </w:rPr>
        <w:t>n</w:t>
      </w:r>
      <w:r w:rsidR="00B14814" w:rsidRPr="00B14814">
        <w:rPr>
          <w:rFonts w:ascii="Verdana" w:eastAsia="Lucida Sans Unicode" w:hAnsi="Verdana" w:cs="Tahoma"/>
          <w:bCs/>
          <w:color w:val="000000"/>
          <w:kern w:val="2"/>
          <w:lang w:eastAsia="ar-SA"/>
        </w:rPr>
        <w:t xml:space="preserve"> sed</w:t>
      </w:r>
      <w:r w:rsidR="00F35D78">
        <w:rPr>
          <w:rFonts w:ascii="Verdana" w:eastAsia="Lucida Sans Unicode" w:hAnsi="Verdana" w:cs="Tahoma"/>
          <w:bCs/>
          <w:color w:val="000000"/>
          <w:kern w:val="2"/>
          <w:lang w:eastAsia="ar-SA"/>
        </w:rPr>
        <w:t>e</w:t>
      </w:r>
      <w:r w:rsidR="00B14814" w:rsidRPr="00B14814">
        <w:rPr>
          <w:rFonts w:ascii="Verdana" w:eastAsia="Lucida Sans Unicode" w:hAnsi="Verdana" w:cs="Tahoma"/>
          <w:bCs/>
          <w:color w:val="000000"/>
          <w:kern w:val="2"/>
          <w:lang w:eastAsia="ar-SA"/>
        </w:rPr>
        <w:t xml:space="preserve"> in </w:t>
      </w:r>
      <w:r w:rsidR="00B14814" w:rsidRPr="00B14814">
        <w:rPr>
          <w:rFonts w:ascii="Verdana" w:eastAsia="Lucida Sans Unicode" w:hAnsi="Verdana" w:cs="Tahoma"/>
          <w:kern w:val="2"/>
          <w:lang w:eastAsia="ar-SA"/>
        </w:rPr>
        <w:t>Bologna, Via</w:t>
      </w:r>
      <w:r w:rsidR="00340E62">
        <w:rPr>
          <w:rFonts w:ascii="Verdana" w:eastAsia="Lucida Sans Unicode" w:hAnsi="Verdana" w:cs="Tahoma"/>
          <w:kern w:val="2"/>
          <w:lang w:eastAsia="ar-SA"/>
        </w:rPr>
        <w:t>le Aldo Mor</w:t>
      </w:r>
      <w:r w:rsidR="00E42F6A">
        <w:rPr>
          <w:rFonts w:ascii="Verdana" w:eastAsia="Lucida Sans Unicode" w:hAnsi="Verdana" w:cs="Tahoma"/>
          <w:kern w:val="2"/>
          <w:lang w:eastAsia="ar-SA"/>
        </w:rPr>
        <w:t>o</w:t>
      </w:r>
      <w:r w:rsidR="00340E62">
        <w:rPr>
          <w:rFonts w:ascii="Verdana" w:eastAsia="Lucida Sans Unicode" w:hAnsi="Verdana" w:cs="Tahoma"/>
          <w:kern w:val="2"/>
          <w:lang w:eastAsia="ar-SA"/>
        </w:rPr>
        <w:t xml:space="preserve"> 38</w:t>
      </w:r>
      <w:r w:rsidR="00B14814" w:rsidRPr="00B14814">
        <w:rPr>
          <w:rFonts w:ascii="Verdana" w:eastAsia="Lucida Sans Unicode" w:hAnsi="Verdana" w:cs="Tahoma"/>
          <w:kern w:val="2"/>
          <w:lang w:eastAsia="ar-SA"/>
        </w:rPr>
        <w:t xml:space="preserve">, C.F. 91252510374, </w:t>
      </w:r>
      <w:r w:rsidR="00FE5EC8" w:rsidRPr="00FE5EC8">
        <w:rPr>
          <w:rFonts w:ascii="Verdana" w:eastAsia="Lucida Sans Unicode" w:hAnsi="Verdana" w:cs="Tahoma"/>
          <w:kern w:val="2"/>
          <w:lang w:eastAsia="ar-SA"/>
        </w:rPr>
        <w:t>in persona del</w:t>
      </w:r>
      <w:r w:rsidR="00E1357A">
        <w:rPr>
          <w:rFonts w:ascii="Verdana" w:eastAsia="Lucida Sans Unicode" w:hAnsi="Verdana" w:cs="Tahoma"/>
          <w:kern w:val="2"/>
          <w:lang w:eastAsia="ar-SA"/>
        </w:rPr>
        <w:t>la</w:t>
      </w:r>
      <w:r w:rsidR="00FE5EC8" w:rsidRPr="00FE5EC8">
        <w:rPr>
          <w:rFonts w:ascii="Verdana" w:eastAsia="Lucida Sans Unicode" w:hAnsi="Verdana" w:cs="Tahoma"/>
          <w:kern w:val="2"/>
          <w:lang w:eastAsia="ar-SA"/>
        </w:rPr>
        <w:t xml:space="preserve"> </w:t>
      </w:r>
      <w:r w:rsidR="00680589" w:rsidRPr="00CB04E5">
        <w:rPr>
          <w:rFonts w:ascii="Verdana" w:hAnsi="Verdana" w:cs="Tahoma"/>
          <w:kern w:val="2"/>
          <w:lang w:eastAsia="ar-SA"/>
        </w:rPr>
        <w:t>Dir</w:t>
      </w:r>
      <w:r w:rsidR="00107CC4">
        <w:rPr>
          <w:rFonts w:ascii="Verdana" w:hAnsi="Verdana" w:cs="Tahoma"/>
          <w:kern w:val="2"/>
          <w:lang w:eastAsia="ar-SA"/>
        </w:rPr>
        <w:t>e</w:t>
      </w:r>
      <w:r w:rsidR="00C36BE8">
        <w:rPr>
          <w:rFonts w:ascii="Verdana" w:hAnsi="Verdana" w:cs="Tahoma"/>
          <w:kern w:val="2"/>
          <w:lang w:eastAsia="ar-SA"/>
        </w:rPr>
        <w:t>tt</w:t>
      </w:r>
      <w:r w:rsidR="00680589" w:rsidRPr="00CB04E5">
        <w:rPr>
          <w:rFonts w:ascii="Verdana" w:hAnsi="Verdana" w:cs="Tahoma"/>
          <w:kern w:val="2"/>
          <w:lang w:eastAsia="ar-SA"/>
        </w:rPr>
        <w:t>r</w:t>
      </w:r>
      <w:r w:rsidR="00E1357A">
        <w:rPr>
          <w:rFonts w:ascii="Verdana" w:hAnsi="Verdana" w:cs="Tahoma"/>
          <w:kern w:val="2"/>
          <w:lang w:eastAsia="ar-SA"/>
        </w:rPr>
        <w:t>ic</w:t>
      </w:r>
      <w:r w:rsidR="00680589" w:rsidRPr="00CB04E5">
        <w:rPr>
          <w:rFonts w:ascii="Verdana" w:hAnsi="Verdana" w:cs="Tahoma"/>
          <w:kern w:val="2"/>
          <w:lang w:eastAsia="ar-SA"/>
        </w:rPr>
        <w:t>e</w:t>
      </w:r>
      <w:r w:rsidR="00680589">
        <w:rPr>
          <w:rFonts w:ascii="Verdana" w:hAnsi="Verdana" w:cs="Tahoma"/>
          <w:kern w:val="2"/>
          <w:lang w:eastAsia="ar-SA"/>
        </w:rPr>
        <w:t xml:space="preserve"> </w:t>
      </w:r>
      <w:r w:rsidR="001D7B57">
        <w:rPr>
          <w:rFonts w:ascii="Verdana" w:hAnsi="Verdana" w:cs="Tahoma"/>
          <w:kern w:val="2"/>
          <w:lang w:eastAsia="ar-SA"/>
        </w:rPr>
        <w:t xml:space="preserve">e legale rappresentante </w:t>
      </w:r>
      <w:r w:rsidR="00E1357A">
        <w:rPr>
          <w:rFonts w:ascii="Verdana" w:hAnsi="Verdana" w:cs="Tahoma"/>
          <w:kern w:val="2"/>
          <w:lang w:eastAsia="ar-SA"/>
        </w:rPr>
        <w:t>Dott.ssa</w:t>
      </w:r>
      <w:r w:rsidR="000E7822" w:rsidRPr="0015413F">
        <w:rPr>
          <w:rFonts w:ascii="Verdana" w:hAnsi="Verdana" w:cs="Tahoma"/>
          <w:kern w:val="2"/>
          <w:lang w:eastAsia="ar-SA"/>
        </w:rPr>
        <w:t>.</w:t>
      </w:r>
      <w:r w:rsidR="00680589" w:rsidRPr="00B1216D">
        <w:rPr>
          <w:rFonts w:ascii="Verdana" w:hAnsi="Verdana" w:cs="Tahoma"/>
          <w:kern w:val="2"/>
          <w:lang w:eastAsia="ar-SA"/>
        </w:rPr>
        <w:t xml:space="preserve"> </w:t>
      </w:r>
      <w:r w:rsidR="00E1357A">
        <w:rPr>
          <w:rFonts w:ascii="Verdana" w:hAnsi="Verdana" w:cs="Tahoma"/>
          <w:kern w:val="2"/>
          <w:lang w:eastAsia="ar-SA"/>
        </w:rPr>
        <w:t>Sabrina Amerio</w:t>
      </w:r>
      <w:r w:rsidR="001D7B57">
        <w:rPr>
          <w:rFonts w:ascii="Verdana" w:hAnsi="Verdana" w:cs="Tahoma"/>
          <w:kern w:val="2"/>
          <w:lang w:eastAsia="ar-SA"/>
        </w:rPr>
        <w:t>, domiciliata per la sua carica presso la sede dell’Ente</w:t>
      </w:r>
      <w:r w:rsidR="00680589" w:rsidRPr="00B1216D">
        <w:rPr>
          <w:rFonts w:ascii="Verdana" w:hAnsi="Verdana" w:cs="Tahoma"/>
          <w:kern w:val="2"/>
          <w:lang w:eastAsia="ar-SA"/>
        </w:rPr>
        <w:t xml:space="preserve">; </w:t>
      </w:r>
    </w:p>
    <w:p w14:paraId="790FC5FD" w14:textId="77777777" w:rsidR="00B14814" w:rsidRPr="00B14814" w:rsidRDefault="00B14814" w:rsidP="006F05B5">
      <w:pPr>
        <w:widowControl/>
        <w:tabs>
          <w:tab w:val="left" w:pos="7920"/>
        </w:tabs>
        <w:suppressAutoHyphens/>
        <w:adjustRightInd/>
        <w:spacing w:line="360" w:lineRule="auto"/>
        <w:ind w:left="720"/>
        <w:jc w:val="center"/>
        <w:rPr>
          <w:rFonts w:ascii="Verdana" w:eastAsia="Lucida Sans Unicode" w:hAnsi="Verdana" w:cs="Tahoma"/>
          <w:b/>
          <w:kern w:val="2"/>
          <w:lang w:eastAsia="ar-SA"/>
        </w:rPr>
      </w:pPr>
    </w:p>
    <w:p w14:paraId="6D2B6C59" w14:textId="77777777" w:rsidR="00B14814" w:rsidRPr="00B14814" w:rsidRDefault="00B14814" w:rsidP="006F05B5">
      <w:pPr>
        <w:widowControl/>
        <w:tabs>
          <w:tab w:val="left" w:pos="7920"/>
        </w:tabs>
        <w:suppressAutoHyphens/>
        <w:adjustRightInd/>
        <w:spacing w:line="360" w:lineRule="auto"/>
        <w:ind w:left="720"/>
        <w:jc w:val="center"/>
        <w:rPr>
          <w:rFonts w:ascii="Verdana" w:eastAsia="Lucida Sans Unicode" w:hAnsi="Verdana" w:cs="Tahoma"/>
          <w:b/>
          <w:kern w:val="2"/>
          <w:lang w:eastAsia="ar-SA"/>
        </w:rPr>
      </w:pPr>
      <w:r w:rsidRPr="00B14814">
        <w:rPr>
          <w:rFonts w:ascii="Verdana" w:eastAsia="Lucida Sans Unicode" w:hAnsi="Verdana" w:cs="Tahoma"/>
          <w:b/>
          <w:kern w:val="2"/>
          <w:lang w:eastAsia="ar-SA"/>
        </w:rPr>
        <w:t>PREMESSO CHE</w:t>
      </w:r>
    </w:p>
    <w:p w14:paraId="35E892D6" w14:textId="604CD05D" w:rsidR="00B14814" w:rsidRPr="00B14814" w:rsidRDefault="00B14814" w:rsidP="006F05B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 xml:space="preserve">la legge 7 agosto 1990, n. 241 e </w:t>
      </w:r>
      <w:proofErr w:type="spellStart"/>
      <w:r w:rsidRPr="00B14814">
        <w:rPr>
          <w:rFonts w:ascii="Verdana" w:eastAsia="Lucida Sans Unicode" w:hAnsi="Verdana" w:cs="Tahoma"/>
          <w:kern w:val="2"/>
          <w:lang w:eastAsia="ar-SA"/>
        </w:rPr>
        <w:t>ss.mm.ii</w:t>
      </w:r>
      <w:proofErr w:type="spellEnd"/>
      <w:r w:rsidRPr="00B14814">
        <w:rPr>
          <w:rFonts w:ascii="Verdana" w:eastAsia="Lucida Sans Unicode" w:hAnsi="Verdana" w:cs="Tahoma"/>
          <w:kern w:val="2"/>
          <w:lang w:eastAsia="ar-SA"/>
        </w:rPr>
        <w:t>. recante “Nuove norme in materia di procedimento amministrativo e di diritto di ac</w:t>
      </w:r>
      <w:r w:rsidR="00EA27E5">
        <w:rPr>
          <w:rFonts w:ascii="Verdana" w:eastAsia="Lucida Sans Unicode" w:hAnsi="Verdana" w:cs="Tahoma"/>
          <w:kern w:val="2"/>
          <w:lang w:eastAsia="ar-SA"/>
        </w:rPr>
        <w:t>c</w:t>
      </w:r>
      <w:r w:rsidRPr="00B14814">
        <w:rPr>
          <w:rFonts w:ascii="Verdana" w:eastAsia="Lucida Sans Unicode" w:hAnsi="Verdana" w:cs="Tahoma"/>
          <w:kern w:val="2"/>
          <w:lang w:eastAsia="ar-SA"/>
        </w:rPr>
        <w:t>esso ai do</w:t>
      </w:r>
      <w:r w:rsidR="007C7890">
        <w:rPr>
          <w:rFonts w:ascii="Verdana" w:eastAsia="Lucida Sans Unicode" w:hAnsi="Verdana" w:cs="Tahoma"/>
          <w:kern w:val="2"/>
          <w:lang w:eastAsia="ar-SA"/>
        </w:rPr>
        <w:t>c</w:t>
      </w:r>
      <w:r w:rsidRPr="00B14814">
        <w:rPr>
          <w:rFonts w:ascii="Verdana" w:eastAsia="Lucida Sans Unicode" w:hAnsi="Verdana" w:cs="Tahoma"/>
          <w:kern w:val="2"/>
          <w:lang w:eastAsia="ar-SA"/>
        </w:rPr>
        <w:t>umenti amministrativi” stabilisce esp</w:t>
      </w:r>
      <w:r w:rsidR="00E17AE0">
        <w:rPr>
          <w:rFonts w:ascii="Verdana" w:eastAsia="Lucida Sans Unicode" w:hAnsi="Verdana" w:cs="Tahoma"/>
          <w:kern w:val="2"/>
          <w:lang w:eastAsia="ar-SA"/>
        </w:rPr>
        <w:t>r</w:t>
      </w:r>
      <w:r w:rsidRPr="00B14814">
        <w:rPr>
          <w:rFonts w:ascii="Verdana" w:eastAsia="Lucida Sans Unicode" w:hAnsi="Verdana" w:cs="Tahoma"/>
          <w:kern w:val="2"/>
          <w:lang w:eastAsia="ar-SA"/>
        </w:rPr>
        <w:t>essa</w:t>
      </w:r>
      <w:r w:rsidR="0029645B">
        <w:rPr>
          <w:rFonts w:ascii="Verdana" w:eastAsia="Lucida Sans Unicode" w:hAnsi="Verdana" w:cs="Tahoma"/>
          <w:kern w:val="2"/>
          <w:lang w:eastAsia="ar-SA"/>
        </w:rPr>
        <w:t>m</w:t>
      </w:r>
      <w:r w:rsidRPr="00B14814">
        <w:rPr>
          <w:rFonts w:ascii="Verdana" w:eastAsia="Lucida Sans Unicode" w:hAnsi="Verdana" w:cs="Tahoma"/>
          <w:kern w:val="2"/>
          <w:lang w:eastAsia="ar-SA"/>
        </w:rPr>
        <w:t>ente all’art. 15 che: “Anche al di fuori delle ipotesi previste dall’articolo 1</w:t>
      </w:r>
      <w:r w:rsidR="002C6DF0">
        <w:rPr>
          <w:rFonts w:ascii="Verdana" w:eastAsia="Lucida Sans Unicode" w:hAnsi="Verdana" w:cs="Tahoma"/>
          <w:kern w:val="2"/>
          <w:lang w:eastAsia="ar-SA"/>
        </w:rPr>
        <w:t>4</w:t>
      </w:r>
      <w:r w:rsidRPr="00B14814">
        <w:rPr>
          <w:rFonts w:ascii="Verdana" w:eastAsia="Lucida Sans Unicode" w:hAnsi="Verdana" w:cs="Tahoma"/>
          <w:kern w:val="2"/>
          <w:lang w:eastAsia="ar-SA"/>
        </w:rPr>
        <w:t>, le amminis</w:t>
      </w:r>
      <w:r w:rsidR="00107CC4">
        <w:rPr>
          <w:rFonts w:ascii="Verdana" w:eastAsia="Lucida Sans Unicode" w:hAnsi="Verdana" w:cs="Tahoma"/>
          <w:kern w:val="2"/>
          <w:lang w:eastAsia="ar-SA"/>
        </w:rPr>
        <w:t>t</w:t>
      </w:r>
      <w:r w:rsidRPr="00B14814">
        <w:rPr>
          <w:rFonts w:ascii="Verdana" w:eastAsia="Lucida Sans Unicode" w:hAnsi="Verdana" w:cs="Tahoma"/>
          <w:kern w:val="2"/>
          <w:lang w:eastAsia="ar-SA"/>
        </w:rPr>
        <w:t>razioni pubblic</w:t>
      </w:r>
      <w:r w:rsidR="00B374B7">
        <w:rPr>
          <w:rFonts w:ascii="Verdana" w:eastAsia="Lucida Sans Unicode" w:hAnsi="Verdana" w:cs="Tahoma"/>
          <w:kern w:val="2"/>
          <w:lang w:eastAsia="ar-SA"/>
        </w:rPr>
        <w:t>h</w:t>
      </w:r>
      <w:r w:rsidRPr="00B14814">
        <w:rPr>
          <w:rFonts w:ascii="Verdana" w:eastAsia="Lucida Sans Unicode" w:hAnsi="Verdana" w:cs="Tahoma"/>
          <w:kern w:val="2"/>
          <w:lang w:eastAsia="ar-SA"/>
        </w:rPr>
        <w:t>e possono sempre concludere tra loro accordi per disciplinare lo svolgimento in collaborazione di attività di interesse comune”;</w:t>
      </w:r>
    </w:p>
    <w:p w14:paraId="4FB18A6A" w14:textId="55EC2E3F" w:rsidR="00BD5A17" w:rsidRDefault="009A2B8C" w:rsidP="00BD5A17">
      <w:pPr>
        <w:widowControl/>
        <w:numPr>
          <w:ilvl w:val="0"/>
          <w:numId w:val="4"/>
        </w:numPr>
        <w:suppressAutoHyphens/>
        <w:adjustRightInd/>
        <w:spacing w:line="360" w:lineRule="auto"/>
        <w:rPr>
          <w:rFonts w:ascii="Verdana" w:eastAsia="Lucida Sans Unicode" w:hAnsi="Verdana" w:cs="Tahoma"/>
          <w:kern w:val="2"/>
          <w:lang w:eastAsia="ar-SA"/>
        </w:rPr>
      </w:pPr>
      <w:r>
        <w:rPr>
          <w:rFonts w:ascii="Verdana" w:eastAsia="Lucida Sans Unicode" w:hAnsi="Verdana" w:cs="Tahoma"/>
          <w:kern w:val="2"/>
          <w:lang w:eastAsia="ar-SA"/>
        </w:rPr>
        <w:t>ai sensi dell</w:t>
      </w:r>
      <w:r w:rsidR="00B14814" w:rsidRPr="00B14814">
        <w:rPr>
          <w:rFonts w:ascii="Verdana" w:eastAsia="Lucida Sans Unicode" w:hAnsi="Verdana" w:cs="Tahoma"/>
          <w:kern w:val="2"/>
          <w:lang w:eastAsia="ar-SA"/>
        </w:rPr>
        <w:t>'articolo 1, commi da 209 a 213, della legge 24 dicembre 2007, n. 244, l'emissione, la trasmissione, la conservazione e l'archiviazione delle fatture emesse nei rapporti con le amministrazioni pubbliche, anche sotto forma di nota, conto, parcella e simili, deve essere effettuata esclusivamente in forma elettronica attraverso il Sistema di Interscambio istituito dal Ministero dell’Economica e delle Finanze;</w:t>
      </w:r>
    </w:p>
    <w:p w14:paraId="66A0FCE1" w14:textId="3AEDB739" w:rsidR="00BD5A17" w:rsidRDefault="00BD5A17" w:rsidP="00BD5A17">
      <w:pPr>
        <w:widowControl/>
        <w:numPr>
          <w:ilvl w:val="0"/>
          <w:numId w:val="4"/>
        </w:numPr>
        <w:suppressAutoHyphens/>
        <w:adjustRightInd/>
        <w:spacing w:line="360" w:lineRule="auto"/>
        <w:rPr>
          <w:rFonts w:ascii="Verdana" w:eastAsia="Lucida Sans Unicode" w:hAnsi="Verdana" w:cs="Tahoma"/>
          <w:kern w:val="2"/>
          <w:lang w:eastAsia="ar-SA"/>
        </w:rPr>
      </w:pPr>
      <w:r>
        <w:rPr>
          <w:rFonts w:ascii="Verdana" w:eastAsia="Lucida Sans Unicode" w:hAnsi="Verdana" w:cs="Tahoma"/>
          <w:kern w:val="2"/>
          <w:lang w:eastAsia="ar-SA"/>
        </w:rPr>
        <w:t xml:space="preserve">il </w:t>
      </w:r>
      <w:r w:rsidRPr="00BD5A17">
        <w:rPr>
          <w:rFonts w:ascii="Verdana" w:eastAsia="Lucida Sans Unicode" w:hAnsi="Verdana" w:cs="Tahoma"/>
          <w:kern w:val="2"/>
          <w:lang w:eastAsia="ar-SA"/>
        </w:rPr>
        <w:t>Decreto del Ministero dell'Economia e delle Finanze 3 aprile 2013, n. 55 ha stabilito che nell’ambito del Sistema di Interscambio per la fatturazione elettronica, le Pubbliche Amministrazioni possono costituirsi quali intermediari nei confronti di altri soggetti, previo accordo tra le parti;</w:t>
      </w:r>
    </w:p>
    <w:p w14:paraId="52750DB4" w14:textId="77777777" w:rsidR="00F978F1" w:rsidRDefault="00F978F1" w:rsidP="00F978F1">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AB51BE">
        <w:rPr>
          <w:rFonts w:ascii="Verdana" w:eastAsia="Lucida Sans Unicode" w:hAnsi="Verdana" w:cs="Tahoma"/>
          <w:kern w:val="2"/>
          <w:lang w:eastAsia="ar-SA"/>
        </w:rPr>
        <w:t>la Direttiva europea 2014/55/UE relativa alla fatturazione elettronica negli appalti pubblici ha previsto che gli Stati membri garantiscano che le amministrazioni aggiudicatrici e gli enti aggiudicatori ricevano ed elaborino fatture elettroniche che sono conformi alla norma europea sulla</w:t>
      </w:r>
      <w:r>
        <w:rPr>
          <w:rFonts w:ascii="Verdana" w:eastAsia="Lucida Sans Unicode" w:hAnsi="Verdana" w:cs="Tahoma"/>
          <w:kern w:val="2"/>
          <w:lang w:eastAsia="ar-SA"/>
        </w:rPr>
        <w:t xml:space="preserve"> </w:t>
      </w:r>
      <w:r w:rsidRPr="00AB51BE">
        <w:rPr>
          <w:rFonts w:ascii="Verdana" w:eastAsia="Lucida Sans Unicode" w:hAnsi="Verdana" w:cs="Tahoma"/>
          <w:kern w:val="2"/>
          <w:lang w:eastAsia="ar-SA"/>
        </w:rPr>
        <w:t xml:space="preserve">fatturazione </w:t>
      </w:r>
      <w:r w:rsidRPr="00AB51BE">
        <w:rPr>
          <w:rFonts w:ascii="Verdana" w:eastAsia="Lucida Sans Unicode" w:hAnsi="Verdana" w:cs="Tahoma"/>
          <w:kern w:val="2"/>
          <w:lang w:eastAsia="ar-SA"/>
        </w:rPr>
        <w:lastRenderedPageBreak/>
        <w:t>elettronica e ha incaricato il competente organismo europeo di normazione di elaborare una norma europea per il modello semantico dei dati degli elementi essenziali di una fattura elettronica</w:t>
      </w:r>
      <w:r>
        <w:rPr>
          <w:rFonts w:ascii="Verdana" w:eastAsia="Lucida Sans Unicode" w:hAnsi="Verdana" w:cs="Tahoma"/>
          <w:kern w:val="2"/>
          <w:lang w:eastAsia="ar-SA"/>
        </w:rPr>
        <w:t>;</w:t>
      </w:r>
    </w:p>
    <w:p w14:paraId="6F9BA315" w14:textId="77777777" w:rsidR="00F978F1" w:rsidRPr="00AB51BE" w:rsidRDefault="00F978F1" w:rsidP="00F978F1">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AB51BE">
        <w:rPr>
          <w:rFonts w:ascii="Verdana" w:eastAsia="Lucida Sans Unicode" w:hAnsi="Verdana" w:cs="Tahoma"/>
          <w:kern w:val="2"/>
          <w:lang w:eastAsia="ar-SA"/>
        </w:rPr>
        <w:t>il Comitato Europeo di Normazione ha pertanto elaborato la norma europea 16931-1 che è stata adottata alla Commissione Europea a mezzo della Decisione di esecuzione 2017/1870 del 16 ottobre 2017;</w:t>
      </w:r>
    </w:p>
    <w:p w14:paraId="40CC3DA9" w14:textId="77777777" w:rsidR="00F978F1" w:rsidRPr="00B14814" w:rsidRDefault="00F978F1" w:rsidP="00F978F1">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15413F">
        <w:rPr>
          <w:rFonts w:ascii="Verdana" w:hAnsi="Verdana"/>
        </w:rPr>
        <w:t>con Decreto legislativo 27</w:t>
      </w:r>
      <w:r>
        <w:rPr>
          <w:rFonts w:ascii="Verdana" w:hAnsi="Verdana"/>
        </w:rPr>
        <w:t xml:space="preserve"> </w:t>
      </w:r>
      <w:r w:rsidRPr="00B14814">
        <w:rPr>
          <w:rFonts w:ascii="Verdana" w:hAnsi="Verdana"/>
        </w:rPr>
        <w:t xml:space="preserve">dicembre 2018, n. 148 è stata recepita </w:t>
      </w:r>
      <w:r w:rsidRPr="00B14814">
        <w:rPr>
          <w:rFonts w:ascii="Verdana" w:hAnsi="Verdana"/>
          <w:color w:val="000000"/>
        </w:rPr>
        <w:t>la Direttiva 2014/55/UE del Parlamento europeo e del Consiglio, del 16 aprile 2014, relativa alla fatturazione elettronica negli appalti pubblici;</w:t>
      </w:r>
    </w:p>
    <w:p w14:paraId="246B4AE0" w14:textId="77777777" w:rsidR="00D83BC0" w:rsidRPr="00B14814" w:rsidRDefault="00D83BC0" w:rsidP="00D83BC0">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la Legge 27 dicembre 2017, n. 205 (Legge di Bilancio 2018), ai commi da 411 a 415, prevede che l’emissione, la trasmissione, la conservazione e l'archiviazione dei documenti attestanti l'Ordinazione (ossia gli ordi</w:t>
      </w:r>
      <w:r>
        <w:rPr>
          <w:rFonts w:ascii="Verdana" w:eastAsia="Lucida Sans Unicode" w:hAnsi="Verdana" w:cs="Tahoma"/>
          <w:kern w:val="2"/>
          <w:lang w:eastAsia="ar-SA"/>
        </w:rPr>
        <w:t>n</w:t>
      </w:r>
      <w:r w:rsidRPr="00B14814">
        <w:rPr>
          <w:rFonts w:ascii="Verdana" w:eastAsia="Lucida Sans Unicode" w:hAnsi="Verdana" w:cs="Tahoma"/>
          <w:kern w:val="2"/>
          <w:lang w:eastAsia="ar-SA"/>
        </w:rPr>
        <w:t>i di acquisto e gli altri documenti utilizzati nella disposizione dell’obbligazione) e l'esecuzione (ossia i documenti di trasporto, gli stati di avanzamento lavori e gli altri documenti utilizzati nella fase di svolgimento dell’obbligazione) degli acquisti di beni e servizi della pubblica amministrazione devono essere effettuate obbligatoriamente in forma elettronica;</w:t>
      </w:r>
    </w:p>
    <w:p w14:paraId="432436A9" w14:textId="77777777" w:rsidR="00D83BC0" w:rsidRPr="00B14814" w:rsidRDefault="00D83BC0" w:rsidP="00D83BC0">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il Decreto del Ministero dell’economia e delle Finanze del 7 dicembre 2018 definisce le modalità e tempi per l'attuazione delle disposizioni in materia di emissione e trasmissione dei documenti attestanti l'ordinazione degli acquisti di beni e servizi effettuata in forma elettronica da applicarsi agli enti del SSN;</w:t>
      </w:r>
    </w:p>
    <w:p w14:paraId="7BB73A65" w14:textId="77777777" w:rsidR="001D7B57" w:rsidRDefault="001D7B57" w:rsidP="001D7B57">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ai sensi del Capo VI bis della Legge Regionale dell’Emilia-Romagna n. 11/2004, così come modificata dalla L.R. n. 17/2013, la Regione Emilia-Romagna promuove e gestisce il Sistema regionale per la Dematerializzazione del Ciclo Passivo (</w:t>
      </w:r>
      <w:proofErr w:type="spellStart"/>
      <w:r w:rsidRPr="00B14814">
        <w:rPr>
          <w:rFonts w:ascii="Verdana" w:eastAsia="Lucida Sans Unicode" w:hAnsi="Verdana" w:cs="Tahoma"/>
          <w:kern w:val="2"/>
          <w:lang w:eastAsia="ar-SA"/>
        </w:rPr>
        <w:t>SiCiPa</w:t>
      </w:r>
      <w:proofErr w:type="spellEnd"/>
      <w:r w:rsidRPr="00B14814">
        <w:rPr>
          <w:rFonts w:ascii="Verdana" w:eastAsia="Lucida Sans Unicode" w:hAnsi="Verdana" w:cs="Tahoma"/>
          <w:kern w:val="2"/>
          <w:lang w:eastAsia="ar-SA"/>
        </w:rPr>
        <w:t xml:space="preserve">-ER) e affida all’Agenzia Intercent-ER lo svolgimento delle attività strumentali e connesse per sviluppare il processo di dematerializzazione del ciclo passivo delle acquisizioni e della sua promozione; </w:t>
      </w:r>
    </w:p>
    <w:p w14:paraId="0A2F9336" w14:textId="01E9BE23" w:rsidR="001D7B57" w:rsidRPr="005E4CC7" w:rsidRDefault="001D7B57" w:rsidP="001D7B57">
      <w:pPr>
        <w:widowControl/>
        <w:numPr>
          <w:ilvl w:val="0"/>
          <w:numId w:val="4"/>
        </w:numPr>
        <w:tabs>
          <w:tab w:val="left" w:pos="7920"/>
        </w:tabs>
        <w:suppressAutoHyphens/>
        <w:adjustRightInd/>
        <w:spacing w:line="360" w:lineRule="auto"/>
        <w:rPr>
          <w:rFonts w:ascii="Verdana" w:eastAsia="Lucida Sans Unicode" w:hAnsi="Verdana" w:cs="Tahoma"/>
          <w:strike/>
          <w:kern w:val="2"/>
          <w:lang w:eastAsia="ar-SA"/>
        </w:rPr>
      </w:pPr>
      <w:r w:rsidRPr="001D7B57">
        <w:rPr>
          <w:rFonts w:ascii="Verdana" w:eastAsia="Lucida Sans Unicode" w:hAnsi="Verdana" w:cs="Tahoma"/>
          <w:kern w:val="2"/>
          <w:lang w:eastAsia="ar-SA"/>
        </w:rPr>
        <w:t>l'Agenzia ha realizzato il Nodo Telematico di Interscambio (</w:t>
      </w:r>
      <w:proofErr w:type="spellStart"/>
      <w:r w:rsidRPr="001D7B57">
        <w:rPr>
          <w:rFonts w:ascii="Verdana" w:eastAsia="Lucida Sans Unicode" w:hAnsi="Verdana" w:cs="Tahoma"/>
          <w:kern w:val="2"/>
          <w:lang w:eastAsia="ar-SA"/>
        </w:rPr>
        <w:t>NoTI</w:t>
      </w:r>
      <w:proofErr w:type="spellEnd"/>
      <w:r w:rsidRPr="001D7B57">
        <w:rPr>
          <w:rFonts w:ascii="Verdana" w:eastAsia="Lucida Sans Unicode" w:hAnsi="Verdana" w:cs="Tahoma"/>
          <w:kern w:val="2"/>
          <w:lang w:eastAsia="ar-SA"/>
        </w:rPr>
        <w:t>-ER) che costituisce lo strumento interoperabile per la gestione dei documenti del ciclo passivo delle acquisizioni ed in particolare delle fatture</w:t>
      </w:r>
      <w:r w:rsidR="00E660D4">
        <w:rPr>
          <w:rFonts w:ascii="Verdana" w:eastAsia="Lucida Sans Unicode" w:hAnsi="Verdana" w:cs="Tahoma"/>
          <w:kern w:val="2"/>
          <w:lang w:eastAsia="ar-SA"/>
        </w:rPr>
        <w:t>.</w:t>
      </w:r>
      <w:r w:rsidRPr="001D7B57">
        <w:t xml:space="preserve"> </w:t>
      </w:r>
      <w:r w:rsidRPr="001D7B57">
        <w:rPr>
          <w:rFonts w:ascii="Verdana" w:eastAsia="Lucida Sans Unicode" w:hAnsi="Verdana" w:cs="Tahoma"/>
          <w:kern w:val="2"/>
          <w:lang w:eastAsia="ar-SA"/>
        </w:rPr>
        <w:t>Tale Nodo assicura l'inoltro ed il ricevimento di documenti validati e conformi agli standard e alle regole tecniche europee e statali, consente altresì l'accesso alle funzioni di archiviazione e conservazione digitale di</w:t>
      </w:r>
      <w:r>
        <w:rPr>
          <w:rFonts w:ascii="Verdana" w:eastAsia="Lucida Sans Unicode" w:hAnsi="Verdana" w:cs="Tahoma"/>
          <w:kern w:val="2"/>
          <w:lang w:eastAsia="ar-SA"/>
        </w:rPr>
        <w:t xml:space="preserve"> </w:t>
      </w:r>
      <w:r w:rsidRPr="001D7B57">
        <w:rPr>
          <w:rFonts w:ascii="Verdana" w:eastAsia="Lucida Sans Unicode" w:hAnsi="Verdana" w:cs="Tahoma"/>
          <w:kern w:val="2"/>
          <w:lang w:eastAsia="ar-SA"/>
        </w:rPr>
        <w:t xml:space="preserve">cui all'articolo 2, comma 4 bis della legge 11/2004 e s </w:t>
      </w:r>
      <w:proofErr w:type="spellStart"/>
      <w:r w:rsidRPr="001D7B57">
        <w:rPr>
          <w:rFonts w:ascii="Verdana" w:eastAsia="Lucida Sans Unicode" w:hAnsi="Verdana" w:cs="Tahoma"/>
          <w:kern w:val="2"/>
          <w:lang w:eastAsia="ar-SA"/>
        </w:rPr>
        <w:t>ss</w:t>
      </w:r>
      <w:proofErr w:type="spellEnd"/>
      <w:r w:rsidRPr="001D7B57">
        <w:rPr>
          <w:rFonts w:ascii="Verdana" w:eastAsia="Lucida Sans Unicode" w:hAnsi="Verdana" w:cs="Tahoma"/>
          <w:kern w:val="2"/>
          <w:lang w:eastAsia="ar-SA"/>
        </w:rPr>
        <w:t xml:space="preserve"> mm. ii.;</w:t>
      </w:r>
    </w:p>
    <w:p w14:paraId="699C2771" w14:textId="77777777" w:rsidR="005E4CC7" w:rsidRDefault="005E4CC7" w:rsidP="005E4CC7">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con deliberazione della Giunta regionale n. 1484 del 11 settembre 2014 è stato adottato il Regolamento per la gestione e l’utilizzo del Nodo Telematico di Interscambio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w:t>
      </w:r>
    </w:p>
    <w:p w14:paraId="5357FC2F" w14:textId="42C5B6B1" w:rsidR="00F84133" w:rsidRDefault="00F84133" w:rsidP="005E4CC7">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Pr>
          <w:rFonts w:ascii="Verdana" w:eastAsia="Lucida Sans Unicode" w:hAnsi="Verdana" w:cs="Tahoma"/>
          <w:kern w:val="2"/>
          <w:lang w:eastAsia="ar-SA"/>
        </w:rPr>
        <w:lastRenderedPageBreak/>
        <w:t>con</w:t>
      </w:r>
      <w:r w:rsidRPr="00F84133">
        <w:rPr>
          <w:rFonts w:ascii="Verdana" w:eastAsia="Lucida Sans Unicode" w:hAnsi="Verdana" w:cs="Tahoma"/>
          <w:kern w:val="2"/>
          <w:lang w:eastAsia="ar-SA"/>
        </w:rPr>
        <w:t xml:space="preserve"> </w:t>
      </w:r>
      <w:r w:rsidRPr="00B14814">
        <w:rPr>
          <w:rFonts w:ascii="Verdana" w:eastAsia="Lucida Sans Unicode" w:hAnsi="Verdana" w:cs="Tahoma"/>
          <w:kern w:val="2"/>
          <w:lang w:eastAsia="ar-SA"/>
        </w:rPr>
        <w:t xml:space="preserve">deliberazione della Giunta regionale n. 287 del 23 marzo 2015 è stata approvata la Direttiva inerente </w:t>
      </w:r>
      <w:proofErr w:type="gramStart"/>
      <w:r w:rsidRPr="00B14814">
        <w:rPr>
          <w:rFonts w:ascii="Verdana" w:eastAsia="Lucida Sans Unicode" w:hAnsi="Verdana" w:cs="Tahoma"/>
          <w:kern w:val="2"/>
          <w:lang w:eastAsia="ar-SA"/>
        </w:rPr>
        <w:t>i</w:t>
      </w:r>
      <w:proofErr w:type="gramEnd"/>
      <w:r w:rsidRPr="00B14814">
        <w:rPr>
          <w:rFonts w:ascii="Verdana" w:eastAsia="Lucida Sans Unicode" w:hAnsi="Verdana" w:cs="Tahoma"/>
          <w:kern w:val="2"/>
          <w:lang w:eastAsia="ar-SA"/>
        </w:rPr>
        <w:t xml:space="preserve"> tempi e le modalità di utilizzo del </w:t>
      </w:r>
      <w:proofErr w:type="spellStart"/>
      <w:r w:rsidRPr="00B14814">
        <w:rPr>
          <w:rFonts w:ascii="Verdana" w:eastAsia="Lucida Sans Unicode" w:hAnsi="Verdana" w:cs="Tahoma"/>
          <w:kern w:val="2"/>
          <w:lang w:eastAsia="ar-SA"/>
        </w:rPr>
        <w:t>SiCiPa</w:t>
      </w:r>
      <w:proofErr w:type="spellEnd"/>
      <w:r w:rsidRPr="00B14814">
        <w:rPr>
          <w:rFonts w:ascii="Verdana" w:eastAsia="Lucida Sans Unicode" w:hAnsi="Verdana" w:cs="Tahoma"/>
          <w:kern w:val="2"/>
          <w:lang w:eastAsia="ar-SA"/>
        </w:rPr>
        <w:t>-ER da parte delle diverse categorie di soggetti ivi previsti (di seguito denominati più brevemente “Enti”);</w:t>
      </w:r>
    </w:p>
    <w:p w14:paraId="5C8C78F2" w14:textId="5891269E" w:rsidR="00F84133" w:rsidRPr="00B14814" w:rsidRDefault="00F84133" w:rsidP="005E4CC7">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Pr>
          <w:rFonts w:ascii="Verdana" w:eastAsia="Lucida Sans Unicode" w:hAnsi="Verdana" w:cs="Tahoma"/>
          <w:kern w:val="2"/>
          <w:lang w:eastAsia="ar-SA"/>
        </w:rPr>
        <w:t xml:space="preserve">Intercent-ER </w:t>
      </w:r>
      <w:r w:rsidRPr="00B14814">
        <w:rPr>
          <w:rFonts w:ascii="Verdana" w:eastAsia="Lucida Sans Unicode" w:hAnsi="Verdana" w:cs="Tahoma"/>
          <w:kern w:val="2"/>
          <w:lang w:eastAsia="ar-SA"/>
        </w:rPr>
        <w:t>ha inoltre aderito al progetto PEPP</w:t>
      </w:r>
      <w:r>
        <w:rPr>
          <w:rFonts w:ascii="Verdana" w:eastAsia="Lucida Sans Unicode" w:hAnsi="Verdana" w:cs="Tahoma"/>
          <w:kern w:val="2"/>
          <w:lang w:eastAsia="ar-SA"/>
        </w:rPr>
        <w:t>O</w:t>
      </w:r>
      <w:r w:rsidRPr="00B14814">
        <w:rPr>
          <w:rFonts w:ascii="Verdana" w:eastAsia="Lucida Sans Unicode" w:hAnsi="Verdana" w:cs="Tahoma"/>
          <w:kern w:val="2"/>
          <w:lang w:eastAsia="ar-SA"/>
        </w:rPr>
        <w:t xml:space="preserve">L (Pan </w:t>
      </w:r>
      <w:proofErr w:type="spellStart"/>
      <w:r w:rsidRPr="00B14814">
        <w:rPr>
          <w:rFonts w:ascii="Verdana" w:eastAsia="Lucida Sans Unicode" w:hAnsi="Verdana" w:cs="Tahoma"/>
          <w:kern w:val="2"/>
          <w:lang w:eastAsia="ar-SA"/>
        </w:rPr>
        <w:t>European</w:t>
      </w:r>
      <w:proofErr w:type="spellEnd"/>
      <w:r w:rsidRPr="00B14814">
        <w:rPr>
          <w:rFonts w:ascii="Verdana" w:eastAsia="Lucida Sans Unicode" w:hAnsi="Verdana" w:cs="Tahoma"/>
          <w:kern w:val="2"/>
          <w:lang w:eastAsia="ar-SA"/>
        </w:rPr>
        <w:t xml:space="preserve"> Public Procurement On Line) ed è fornitore dei servizi</w:t>
      </w:r>
      <w:r>
        <w:rPr>
          <w:rFonts w:ascii="Verdana" w:eastAsia="Lucida Sans Unicode" w:hAnsi="Verdana" w:cs="Tahoma"/>
          <w:kern w:val="2"/>
          <w:lang w:eastAsia="ar-SA"/>
        </w:rPr>
        <w:t xml:space="preserve"> </w:t>
      </w:r>
      <w:r w:rsidRPr="00B14814">
        <w:rPr>
          <w:rFonts w:ascii="Verdana" w:eastAsia="Lucida Sans Unicode" w:hAnsi="Verdana" w:cs="Tahoma"/>
          <w:kern w:val="2"/>
          <w:lang w:eastAsia="ar-SA"/>
        </w:rPr>
        <w:t xml:space="preserve">di Access Point (AP) e di Service Metadata Publisher (SMP) in base agli Accordi Sottoscritti con la </w:t>
      </w:r>
      <w:proofErr w:type="spellStart"/>
      <w:r w:rsidRPr="00B14814">
        <w:rPr>
          <w:rFonts w:ascii="Verdana" w:eastAsia="Lucida Sans Unicode" w:hAnsi="Verdana" w:cs="Tahoma"/>
          <w:kern w:val="2"/>
          <w:lang w:eastAsia="ar-SA"/>
        </w:rPr>
        <w:t>Coordinating</w:t>
      </w:r>
      <w:proofErr w:type="spellEnd"/>
      <w:r w:rsidRPr="00B14814">
        <w:rPr>
          <w:rFonts w:ascii="Verdana" w:eastAsia="Lucida Sans Unicode" w:hAnsi="Verdana" w:cs="Tahoma"/>
          <w:kern w:val="2"/>
          <w:lang w:eastAsia="ar-SA"/>
        </w:rPr>
        <w:t xml:space="preserve"> Authority OPEN PEPPOL AISBL e con AgID PEPPOL Authority nazionale;</w:t>
      </w:r>
    </w:p>
    <w:p w14:paraId="731E5144" w14:textId="59E569F5" w:rsidR="00B14814" w:rsidRPr="00B14814" w:rsidRDefault="00B14814" w:rsidP="006F05B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Intercent-ER opera altresì come Intermediario accreditato sul Sistema di Interscambio (</w:t>
      </w:r>
      <w:proofErr w:type="spellStart"/>
      <w:r w:rsidRPr="00B14814">
        <w:rPr>
          <w:rFonts w:ascii="Verdana" w:eastAsia="Lucida Sans Unicode" w:hAnsi="Verdana" w:cs="Tahoma"/>
          <w:kern w:val="2"/>
          <w:lang w:eastAsia="ar-SA"/>
        </w:rPr>
        <w:t>SdI</w:t>
      </w:r>
      <w:proofErr w:type="spellEnd"/>
      <w:r w:rsidRPr="00B14814">
        <w:rPr>
          <w:rFonts w:ascii="Verdana" w:eastAsia="Lucida Sans Unicode" w:hAnsi="Verdana" w:cs="Tahoma"/>
          <w:kern w:val="2"/>
          <w:lang w:eastAsia="ar-SA"/>
        </w:rPr>
        <w:t>) e sul Nodo Smistamento Ordini (NSO);</w:t>
      </w:r>
    </w:p>
    <w:p w14:paraId="6D20A087" w14:textId="39240D82" w:rsidR="00B14814" w:rsidRPr="00B14814" w:rsidRDefault="00B14814" w:rsidP="006F05B5">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 xml:space="preserve">-ER assicura l’inoltro e il ricevimento di documenti validati e conformi agli standard e alle regole tecniche europee mediante l’utilizzo degli standard documentali infrastrutturali definiti nell’ambito della </w:t>
      </w:r>
      <w:r w:rsidRPr="00B14814">
        <w:rPr>
          <w:rFonts w:ascii="Verdana" w:hAnsi="Verdana" w:cs="Tahoma"/>
          <w:kern w:val="2"/>
          <w:lang w:eastAsia="ar-SA"/>
        </w:rPr>
        <w:t xml:space="preserve">PEPPOL </w:t>
      </w:r>
      <w:proofErr w:type="spellStart"/>
      <w:r w:rsidRPr="00B14814">
        <w:rPr>
          <w:rFonts w:ascii="Verdana" w:hAnsi="Verdana" w:cs="Tahoma"/>
          <w:kern w:val="2"/>
          <w:lang w:eastAsia="ar-SA"/>
        </w:rPr>
        <w:t>Coordinating</w:t>
      </w:r>
      <w:proofErr w:type="spellEnd"/>
      <w:r w:rsidRPr="00B14814">
        <w:rPr>
          <w:rFonts w:ascii="Verdana" w:hAnsi="Verdana" w:cs="Tahoma"/>
          <w:kern w:val="2"/>
          <w:lang w:eastAsia="ar-SA"/>
        </w:rPr>
        <w:t xml:space="preserve"> Authority </w:t>
      </w:r>
      <w:proofErr w:type="spellStart"/>
      <w:r w:rsidRPr="00B14814">
        <w:rPr>
          <w:rFonts w:ascii="Verdana" w:hAnsi="Verdana" w:cs="Tahoma"/>
          <w:kern w:val="2"/>
          <w:lang w:eastAsia="ar-SA"/>
        </w:rPr>
        <w:t>OpenPEPPOL</w:t>
      </w:r>
      <w:proofErr w:type="spellEnd"/>
      <w:r w:rsidRPr="00B14814">
        <w:rPr>
          <w:rFonts w:ascii="Verdana" w:hAnsi="Verdana" w:cs="Tahoma"/>
          <w:kern w:val="2"/>
          <w:lang w:eastAsia="ar-SA"/>
        </w:rPr>
        <w:t xml:space="preserve"> AISBL</w:t>
      </w:r>
      <w:r w:rsidRPr="00B14814">
        <w:rPr>
          <w:rFonts w:ascii="Verdana" w:hAnsi="Verdana" w:cs="Tahoma"/>
          <w:color w:val="000000"/>
          <w:kern w:val="2"/>
          <w:lang w:eastAsia="ar-SA"/>
        </w:rPr>
        <w:t xml:space="preserve">, garantendo pertanto il rispetto delle regole definite dalla PEPPOL Authority nazionale istituita presso AGID soprarichiamate e </w:t>
      </w:r>
      <w:r w:rsidRPr="00B14814">
        <w:rPr>
          <w:rFonts w:ascii="Verdana" w:eastAsia="Lucida Sans Unicode" w:hAnsi="Verdana" w:cs="Tahoma"/>
          <w:kern w:val="2"/>
          <w:lang w:eastAsia="ar-SA"/>
        </w:rPr>
        <w:t>delle disposizioni statali vigenti in materia;</w:t>
      </w:r>
    </w:p>
    <w:p w14:paraId="255A0D51" w14:textId="41C0328C" w:rsidR="00B14814" w:rsidRPr="00750DB3" w:rsidRDefault="00B14814" w:rsidP="00750DB3">
      <w:pPr>
        <w:widowControl/>
        <w:numPr>
          <w:ilvl w:val="0"/>
          <w:numId w:val="4"/>
        </w:numPr>
        <w:tabs>
          <w:tab w:val="left" w:pos="7920"/>
        </w:tabs>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gli Ent</w:t>
      </w:r>
      <w:r w:rsidR="00BF78F1">
        <w:rPr>
          <w:rFonts w:ascii="Verdana" w:eastAsia="Lucida Sans Unicode" w:hAnsi="Verdana" w:cs="Tahoma"/>
          <w:kern w:val="2"/>
          <w:lang w:eastAsia="ar-SA"/>
        </w:rPr>
        <w:t>i</w:t>
      </w:r>
      <w:r w:rsidRPr="00B14814">
        <w:rPr>
          <w:rFonts w:ascii="Verdana" w:eastAsia="Lucida Sans Unicode" w:hAnsi="Verdana" w:cs="Tahoma"/>
          <w:kern w:val="2"/>
          <w:lang w:eastAsia="ar-SA"/>
        </w:rPr>
        <w:t xml:space="preserve"> di cui sopra </w:t>
      </w:r>
      <w:r w:rsidR="00BF78F1">
        <w:rPr>
          <w:rFonts w:ascii="Verdana" w:eastAsia="Lucida Sans Unicode" w:hAnsi="Verdana" w:cs="Tahoma"/>
          <w:kern w:val="2"/>
          <w:lang w:eastAsia="ar-SA"/>
        </w:rPr>
        <w:t>sono</w:t>
      </w:r>
      <w:r w:rsidRPr="00B14814">
        <w:rPr>
          <w:rFonts w:ascii="Verdana" w:eastAsia="Lucida Sans Unicode" w:hAnsi="Verdana" w:cs="Tahoma"/>
          <w:kern w:val="2"/>
          <w:lang w:eastAsia="ar-SA"/>
        </w:rPr>
        <w:t xml:space="preserve"> da tempo impegnat</w:t>
      </w:r>
      <w:r w:rsidR="00BF78F1">
        <w:rPr>
          <w:rFonts w:ascii="Verdana" w:eastAsia="Lucida Sans Unicode" w:hAnsi="Verdana" w:cs="Tahoma"/>
          <w:kern w:val="2"/>
          <w:lang w:eastAsia="ar-SA"/>
        </w:rPr>
        <w:t>i</w:t>
      </w:r>
      <w:r w:rsidRPr="00B14814">
        <w:rPr>
          <w:rFonts w:ascii="Verdana" w:eastAsia="Lucida Sans Unicode" w:hAnsi="Verdana" w:cs="Tahoma"/>
          <w:kern w:val="2"/>
          <w:lang w:eastAsia="ar-SA"/>
        </w:rPr>
        <w:t xml:space="preserve"> nella progressiva digitalizzazione dei documenti e intend</w:t>
      </w:r>
      <w:r w:rsidR="00BF78F1">
        <w:rPr>
          <w:rFonts w:ascii="Verdana" w:eastAsia="Lucida Sans Unicode" w:hAnsi="Verdana" w:cs="Tahoma"/>
          <w:kern w:val="2"/>
          <w:lang w:eastAsia="ar-SA"/>
        </w:rPr>
        <w:t>ono</w:t>
      </w:r>
      <w:r w:rsidRPr="00B14814">
        <w:rPr>
          <w:rFonts w:ascii="Verdana" w:eastAsia="Lucida Sans Unicode" w:hAnsi="Verdana" w:cs="Tahoma"/>
          <w:kern w:val="2"/>
          <w:lang w:eastAsia="ar-SA"/>
        </w:rPr>
        <w:t xml:space="preserve"> </w:t>
      </w:r>
      <w:r w:rsidR="005B2135">
        <w:rPr>
          <w:rFonts w:ascii="Verdana" w:eastAsia="Lucida Sans Unicode" w:hAnsi="Verdana" w:cs="Tahoma"/>
          <w:kern w:val="2"/>
          <w:lang w:eastAsia="ar-SA"/>
        </w:rPr>
        <w:t>collaborare al fine</w:t>
      </w:r>
      <w:r w:rsidRPr="00B14814">
        <w:rPr>
          <w:rFonts w:ascii="Verdana" w:eastAsia="Lucida Sans Unicode" w:hAnsi="Verdana" w:cs="Tahoma"/>
          <w:kern w:val="2"/>
          <w:lang w:eastAsia="ar-SA"/>
        </w:rPr>
        <w:t xml:space="preserve"> di organizzare in modo efficace l’emissione, la trasmissione e il ricevimento dei documenti elettronici del ciclo passivo delle acquisizioni, con particolare riferimento alla fattura elettronica, nonché per accedere alle funzioni di conservazione e archiviazione dei documenti sul Polo Archivistico regionale </w:t>
      </w:r>
      <w:proofErr w:type="spellStart"/>
      <w:r w:rsidRPr="00B14814">
        <w:rPr>
          <w:rFonts w:ascii="Verdana" w:eastAsia="Lucida Sans Unicode" w:hAnsi="Verdana" w:cs="Tahoma"/>
          <w:kern w:val="2"/>
          <w:lang w:eastAsia="ar-SA"/>
        </w:rPr>
        <w:t>ParER</w:t>
      </w:r>
      <w:proofErr w:type="spellEnd"/>
      <w:r w:rsidRPr="00B14814">
        <w:rPr>
          <w:rFonts w:ascii="Verdana" w:eastAsia="Lucida Sans Unicode" w:hAnsi="Verdana" w:cs="Tahoma"/>
          <w:kern w:val="2"/>
          <w:lang w:eastAsia="ar-SA"/>
        </w:rPr>
        <w:t>.</w:t>
      </w:r>
    </w:p>
    <w:p w14:paraId="4DDF56F4" w14:textId="77777777" w:rsidR="00B14814" w:rsidRPr="00B14814" w:rsidRDefault="00B14814" w:rsidP="006F05B5">
      <w:pPr>
        <w:widowControl/>
        <w:suppressAutoHyphens/>
        <w:adjustRightInd/>
        <w:spacing w:line="360" w:lineRule="auto"/>
        <w:ind w:left="360"/>
        <w:rPr>
          <w:rFonts w:ascii="Verdana" w:hAnsi="Verdana" w:cs="Tahoma"/>
          <w:kern w:val="2"/>
          <w:lang w:eastAsia="ar-SA"/>
        </w:rPr>
      </w:pPr>
    </w:p>
    <w:p w14:paraId="0C17AC87" w14:textId="3B322B43" w:rsidR="00B14814" w:rsidRPr="00164270" w:rsidRDefault="00B14814" w:rsidP="006F05B5">
      <w:pPr>
        <w:spacing w:line="360" w:lineRule="auto"/>
        <w:ind w:firstLine="2127"/>
        <w:rPr>
          <w:rFonts w:ascii="Verdana" w:hAnsi="Verdana"/>
          <w:b/>
          <w:lang w:eastAsia="ar-SA"/>
        </w:rPr>
      </w:pPr>
      <w:r w:rsidRPr="00164270">
        <w:rPr>
          <w:rFonts w:ascii="Verdana" w:hAnsi="Verdana"/>
          <w:b/>
          <w:lang w:eastAsia="ar-SA"/>
        </w:rPr>
        <w:t>si conviene e si stipula quanto segue:</w:t>
      </w:r>
    </w:p>
    <w:p w14:paraId="2969FA8C" w14:textId="57B3DC9F" w:rsidR="00B14814" w:rsidRDefault="00B14814" w:rsidP="006F05B5">
      <w:pPr>
        <w:pStyle w:val="Articoli"/>
      </w:pPr>
    </w:p>
    <w:p w14:paraId="1E1240C0" w14:textId="4CD96B17" w:rsidR="00164270" w:rsidRPr="00B14814" w:rsidRDefault="00164270" w:rsidP="00D0299C">
      <w:pPr>
        <w:pStyle w:val="Articoli"/>
        <w:keepNext/>
      </w:pPr>
      <w:r>
        <w:t>Art. 1</w:t>
      </w:r>
    </w:p>
    <w:p w14:paraId="3D4ABEEC" w14:textId="65751502" w:rsidR="00164270" w:rsidRPr="00B14814" w:rsidRDefault="00164270"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w:t>
      </w:r>
      <w:r>
        <w:rPr>
          <w:rFonts w:ascii="Verdana" w:hAnsi="Verdana" w:cs="Tahoma"/>
          <w:b/>
          <w:kern w:val="2"/>
          <w:lang w:eastAsia="ar-SA"/>
        </w:rPr>
        <w:t>Oggetto dell’accordo</w:t>
      </w:r>
      <w:r w:rsidRPr="00B14814">
        <w:rPr>
          <w:rFonts w:ascii="Verdana" w:hAnsi="Verdana" w:cs="Tahoma"/>
          <w:b/>
          <w:kern w:val="2"/>
          <w:lang w:eastAsia="ar-SA"/>
        </w:rPr>
        <w:t>)</w:t>
      </w:r>
    </w:p>
    <w:p w14:paraId="3F3BDD0B" w14:textId="7E657DA2"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 xml:space="preserve">Oggetto del presente accordo è l’utilizzo del Nodo Telematico di Interscambio </w:t>
      </w:r>
      <w:r w:rsidRPr="00B14814">
        <w:rPr>
          <w:rFonts w:ascii="Verdana" w:eastAsia="Lucida Sans Unicode" w:hAnsi="Verdana" w:cs="Tahoma"/>
          <w:color w:val="000000"/>
          <w:kern w:val="2"/>
          <w:lang w:eastAsia="ar-SA"/>
        </w:rPr>
        <w:t xml:space="preserve">(di seguito denominato </w:t>
      </w:r>
      <w:proofErr w:type="spellStart"/>
      <w:r w:rsidRPr="00B14814">
        <w:rPr>
          <w:rFonts w:ascii="Verdana" w:eastAsia="Lucida Sans Unicode" w:hAnsi="Verdana" w:cs="Tahoma"/>
          <w:color w:val="000000"/>
          <w:kern w:val="2"/>
          <w:lang w:eastAsia="ar-SA"/>
        </w:rPr>
        <w:t>NoTI</w:t>
      </w:r>
      <w:proofErr w:type="spellEnd"/>
      <w:r w:rsidRPr="00B14814">
        <w:rPr>
          <w:rFonts w:ascii="Verdana" w:eastAsia="Lucida Sans Unicode" w:hAnsi="Verdana" w:cs="Tahoma"/>
          <w:color w:val="000000"/>
          <w:kern w:val="2"/>
          <w:lang w:eastAsia="ar-SA"/>
        </w:rPr>
        <w:t>-ER), gestito da Intercent-ER,</w:t>
      </w:r>
      <w:r w:rsidRPr="00B14814">
        <w:rPr>
          <w:rFonts w:ascii="Verdana" w:eastAsia="Lucida Sans Unicode" w:hAnsi="Verdana" w:cs="Tahoma"/>
          <w:kern w:val="2"/>
          <w:lang w:eastAsia="ar-SA"/>
        </w:rPr>
        <w:t xml:space="preserve"> per la trasmissione e la ricezione dei documenti informatici relativi al ciclo passivo da parte dei soggetti individuati al paragrafo “</w:t>
      </w:r>
      <w:r w:rsidR="00224D1C">
        <w:rPr>
          <w:rFonts w:ascii="Verdana" w:eastAsia="Lucida Sans Unicode" w:hAnsi="Verdana" w:cs="Tahoma"/>
          <w:kern w:val="2"/>
          <w:lang w:eastAsia="ar-SA"/>
        </w:rPr>
        <w:t xml:space="preserve">Modalità di utilizzo del </w:t>
      </w:r>
      <w:proofErr w:type="spellStart"/>
      <w:r w:rsidR="00224D1C">
        <w:rPr>
          <w:rFonts w:ascii="Verdana" w:eastAsia="Lucida Sans Unicode" w:hAnsi="Verdana" w:cs="Tahoma"/>
          <w:kern w:val="2"/>
          <w:lang w:eastAsia="ar-SA"/>
        </w:rPr>
        <w:t>SiCiPa</w:t>
      </w:r>
      <w:proofErr w:type="spellEnd"/>
      <w:r w:rsidR="00224D1C">
        <w:rPr>
          <w:rFonts w:ascii="Verdana" w:eastAsia="Lucida Sans Unicode" w:hAnsi="Verdana" w:cs="Tahoma"/>
          <w:kern w:val="2"/>
          <w:lang w:eastAsia="ar-SA"/>
        </w:rPr>
        <w:t>-ER da parte di Amministrazioni ed Enti appartenenti ad altre Regioni</w:t>
      </w:r>
      <w:r w:rsidRPr="00B14814">
        <w:rPr>
          <w:rFonts w:ascii="Verdana" w:eastAsia="Lucida Sans Unicode" w:hAnsi="Verdana" w:cs="Tahoma"/>
          <w:kern w:val="2"/>
          <w:lang w:eastAsia="ar-SA"/>
        </w:rPr>
        <w:t>” della Direttiva approvata con Deliberazione di Giunta regionale n. 287/2015.</w:t>
      </w:r>
    </w:p>
    <w:p w14:paraId="769BD81E"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t xml:space="preserve">L’invio in conservazione per l'archiviazione digitale presso il </w:t>
      </w:r>
      <w:proofErr w:type="spellStart"/>
      <w:r w:rsidRPr="00B14814">
        <w:rPr>
          <w:rFonts w:ascii="Verdana" w:eastAsia="Lucida Sans Unicode" w:hAnsi="Verdana" w:cs="Tahoma"/>
          <w:kern w:val="2"/>
          <w:lang w:eastAsia="ar-SA"/>
        </w:rPr>
        <w:t>ParER</w:t>
      </w:r>
      <w:proofErr w:type="spellEnd"/>
      <w:r w:rsidRPr="00B14814">
        <w:rPr>
          <w:rFonts w:ascii="Verdana" w:eastAsia="Lucida Sans Unicode" w:hAnsi="Verdana" w:cs="Tahoma"/>
          <w:kern w:val="2"/>
          <w:lang w:eastAsia="ar-SA"/>
        </w:rPr>
        <w:t xml:space="preserve"> dei documenti informatici relativi al ciclo passivo è effettuato da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 xml:space="preserve">-ER per conto dell’Ente esclusivamente laddove richiesto nel modulo di iscrizione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w:t>
      </w:r>
    </w:p>
    <w:p w14:paraId="53BEF108"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r w:rsidRPr="00B14814">
        <w:rPr>
          <w:rFonts w:ascii="Verdana" w:eastAsia="Lucida Sans Unicode" w:hAnsi="Verdana" w:cs="Tahoma"/>
          <w:kern w:val="2"/>
          <w:lang w:eastAsia="ar-SA"/>
        </w:rPr>
        <w:lastRenderedPageBreak/>
        <w:t xml:space="preserve">L’Ente, in virtù del presente accordo, laddove richiesto nel modulo di iscrizione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 individua Intercent-ER quale intermediario per la trasmissione e la ricezione delle fatture elettroniche nell’ambito del Sistema di Interscambio per la fatturazione elettronica, ai sensi dell’articolo 5 comma 2 del Decreto del Ministero per l’Economia e le Finanze 3 aprile 2013, n. 55, e come responsabile per l’emissione delle fatture per conto del cedente o prestatore ai sensi dell’art. 21, comma 2 lettera n) del DPR 633/72.</w:t>
      </w:r>
    </w:p>
    <w:p w14:paraId="5F319CBE"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bookmarkStart w:id="0" w:name="_Hlk511396042"/>
      <w:r w:rsidRPr="00B14814">
        <w:rPr>
          <w:rFonts w:ascii="Verdana" w:eastAsia="Lucida Sans Unicode" w:hAnsi="Verdana" w:cs="Tahoma"/>
          <w:kern w:val="2"/>
          <w:lang w:eastAsia="ar-SA"/>
        </w:rPr>
        <w:t>La firma elettronica delle fatture attive, laddove richiesto, è effettuata come disciplinato nella Determinazione Intercent-ER n. 223 del 06/09/2016 “Nodo Telematico di Interscambio di Intercent-ER(</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 Adozione del sistema di firma digitale massiva remota denominato “</w:t>
      </w:r>
      <w:proofErr w:type="spellStart"/>
      <w:r w:rsidRPr="00B14814">
        <w:rPr>
          <w:rFonts w:ascii="Verdana" w:eastAsia="Lucida Sans Unicode" w:hAnsi="Verdana" w:cs="Tahoma"/>
          <w:kern w:val="2"/>
          <w:lang w:eastAsia="ar-SA"/>
        </w:rPr>
        <w:t>Firmaremota</w:t>
      </w:r>
      <w:proofErr w:type="spellEnd"/>
      <w:r w:rsidRPr="00B14814">
        <w:rPr>
          <w:rFonts w:ascii="Verdana" w:eastAsia="Lucida Sans Unicode" w:hAnsi="Verdana" w:cs="Tahoma"/>
          <w:kern w:val="2"/>
          <w:lang w:eastAsia="ar-SA"/>
        </w:rPr>
        <w:t>"</w:t>
      </w:r>
      <w:r w:rsidRPr="00B14814">
        <w:rPr>
          <w:rFonts w:ascii="Verdana" w:eastAsia="Lucida Sans Unicode" w:hAnsi="Verdana" w:cs="Tahoma"/>
          <w:bCs/>
          <w:smallCaps/>
          <w:kern w:val="2"/>
          <w:lang w:eastAsia="ar-SA"/>
        </w:rPr>
        <w:t>.</w:t>
      </w:r>
      <w:bookmarkEnd w:id="0"/>
    </w:p>
    <w:p w14:paraId="0D5700E4" w14:textId="77777777" w:rsidR="00B14814" w:rsidRPr="00B14814" w:rsidRDefault="00B14814" w:rsidP="006F05B5">
      <w:pPr>
        <w:widowControl/>
        <w:numPr>
          <w:ilvl w:val="0"/>
          <w:numId w:val="5"/>
        </w:numPr>
        <w:suppressAutoHyphens/>
        <w:adjustRightInd/>
        <w:spacing w:line="360" w:lineRule="auto"/>
        <w:rPr>
          <w:rFonts w:ascii="Verdana" w:eastAsia="Lucida Sans Unicode" w:hAnsi="Verdana" w:cs="Tahoma"/>
          <w:kern w:val="2"/>
          <w:lang w:eastAsia="ar-SA"/>
        </w:rPr>
      </w:pPr>
      <w:r w:rsidRPr="00B14814">
        <w:rPr>
          <w:rFonts w:ascii="Verdana" w:hAnsi="Verdana" w:cs="Tahoma"/>
          <w:kern w:val="2"/>
          <w:lang w:eastAsia="ar-SA"/>
        </w:rPr>
        <w:t>Le Parti si obbligano reciprocamente a condividere le proprie conoscenze, l’esperienza realizzata ed i relativi risultati in materia di digitalizzazione e dematerializzazione del ciclo passivo delle acquisizioni.</w:t>
      </w:r>
    </w:p>
    <w:p w14:paraId="5DC9D277" w14:textId="77777777" w:rsidR="00B14814" w:rsidRPr="00B14814" w:rsidRDefault="00B14814" w:rsidP="006F05B5">
      <w:pPr>
        <w:widowControl/>
        <w:suppressAutoHyphens/>
        <w:adjustRightInd/>
        <w:spacing w:line="360" w:lineRule="auto"/>
        <w:rPr>
          <w:rFonts w:ascii="Verdana" w:hAnsi="Verdana" w:cs="Tahoma"/>
          <w:kern w:val="2"/>
          <w:lang w:eastAsia="ar-SA"/>
        </w:rPr>
      </w:pPr>
    </w:p>
    <w:p w14:paraId="229BFC72"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2</w:t>
      </w:r>
    </w:p>
    <w:p w14:paraId="55305364"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(Finalità)</w:t>
      </w:r>
    </w:p>
    <w:p w14:paraId="39FC0316" w14:textId="77777777" w:rsidR="00B14814" w:rsidRPr="00B14814" w:rsidRDefault="00B14814" w:rsidP="006F05B5">
      <w:pPr>
        <w:widowControl/>
        <w:numPr>
          <w:ilvl w:val="0"/>
          <w:numId w:val="6"/>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Il presente Accordo, attraverso i servizi del </w:t>
      </w:r>
      <w:proofErr w:type="spellStart"/>
      <w:r w:rsidRPr="00B14814">
        <w:rPr>
          <w:rFonts w:ascii="Verdana" w:hAnsi="Verdana" w:cs="Tahoma"/>
          <w:kern w:val="2"/>
          <w:lang w:eastAsia="ar-SA"/>
        </w:rPr>
        <w:t>NoTI</w:t>
      </w:r>
      <w:proofErr w:type="spellEnd"/>
      <w:r w:rsidRPr="00B14814">
        <w:rPr>
          <w:rFonts w:ascii="Verdana" w:hAnsi="Verdana" w:cs="Tahoma"/>
          <w:kern w:val="2"/>
          <w:lang w:eastAsia="ar-SA"/>
        </w:rPr>
        <w:t xml:space="preserve">-ER, persegue le seguenti finalità: </w:t>
      </w:r>
    </w:p>
    <w:p w14:paraId="140F4214"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creare le condizioni giuridico-organizzative per la trasmissione,</w:t>
      </w:r>
      <w:r w:rsidRPr="00B14814">
        <w:rPr>
          <w:kern w:val="2"/>
          <w:lang w:eastAsia="ar-SA"/>
        </w:rPr>
        <w:t xml:space="preserve"> </w:t>
      </w:r>
      <w:r w:rsidRPr="00B14814">
        <w:rPr>
          <w:rFonts w:ascii="Verdana" w:hAnsi="Verdana" w:cs="Tahoma"/>
          <w:kern w:val="2"/>
          <w:lang w:eastAsia="ar-SA"/>
        </w:rPr>
        <w:t xml:space="preserve">il ricevimento e l’invio in conservazione presso </w:t>
      </w:r>
      <w:proofErr w:type="spellStart"/>
      <w:r w:rsidRPr="00B14814">
        <w:rPr>
          <w:rFonts w:ascii="Verdana" w:hAnsi="Verdana" w:cs="Tahoma"/>
          <w:kern w:val="2"/>
          <w:lang w:eastAsia="ar-SA"/>
        </w:rPr>
        <w:t>ParER</w:t>
      </w:r>
      <w:proofErr w:type="spellEnd"/>
      <w:r w:rsidRPr="00B14814">
        <w:rPr>
          <w:rFonts w:ascii="Verdana" w:hAnsi="Verdana" w:cs="Tahoma"/>
          <w:kern w:val="2"/>
          <w:lang w:eastAsia="ar-SA"/>
        </w:rPr>
        <w:t xml:space="preserve"> per l'archiviazione dei documenti elettronici relativi al ciclo passivo delle acquisizioni, nonché l’emissione per conto, la ricezione e la trasmissione di fatture elettroniche, nel rispetto delle finalità istituzionali degli enti;</w:t>
      </w:r>
    </w:p>
    <w:p w14:paraId="2866C000"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garantire economicità, efficienza ed efficacia alla funzione di dematerializzazione del ciclo degli acquisti;</w:t>
      </w:r>
    </w:p>
    <w:p w14:paraId="08E08576"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garantire un’elevata qualità nell’erogazione della funzione in oggetto;</w:t>
      </w:r>
    </w:p>
    <w:p w14:paraId="286CC1F5"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garantire uno strumento di monitoraggio dei documenti elettronici emessi, trasmessi e ricevuti, al fine di supportare le funzioni di controllo dei flussi documentali;</w:t>
      </w:r>
    </w:p>
    <w:p w14:paraId="6F598F6B" w14:textId="5497478B"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 xml:space="preserve">creare le condizioni tecniche di accesso alle funzioni di archiviazione e conservazione digitale messe a </w:t>
      </w:r>
      <w:r w:rsidRPr="0015413F">
        <w:rPr>
          <w:rFonts w:ascii="Verdana" w:hAnsi="Verdana" w:cs="Tahoma"/>
          <w:kern w:val="2"/>
          <w:lang w:eastAsia="ar-SA"/>
        </w:rPr>
        <w:t xml:space="preserve">disposizione </w:t>
      </w:r>
      <w:r w:rsidR="00816D6F" w:rsidRPr="0015413F">
        <w:rPr>
          <w:rFonts w:ascii="Verdana" w:hAnsi="Verdana" w:cs="Tahoma"/>
          <w:kern w:val="2"/>
          <w:lang w:eastAsia="ar-SA"/>
        </w:rPr>
        <w:t>dalla Regione Emilia-Romagna</w:t>
      </w:r>
      <w:r w:rsidRPr="0015413F">
        <w:rPr>
          <w:rFonts w:ascii="Verdana" w:hAnsi="Verdana" w:cs="Tahoma"/>
          <w:kern w:val="2"/>
          <w:lang w:eastAsia="ar-SA"/>
        </w:rPr>
        <w:t>, tramite il proprio Servizi</w:t>
      </w:r>
      <w:r w:rsidRPr="00B14814">
        <w:rPr>
          <w:rFonts w:ascii="Verdana" w:hAnsi="Verdana" w:cs="Tahoma"/>
          <w:kern w:val="2"/>
          <w:lang w:eastAsia="ar-SA"/>
        </w:rPr>
        <w:t>o Polo Archivistico Regionale (</w:t>
      </w:r>
      <w:proofErr w:type="spellStart"/>
      <w:r w:rsidRPr="00B14814">
        <w:rPr>
          <w:rFonts w:ascii="Verdana" w:hAnsi="Verdana" w:cs="Tahoma"/>
          <w:kern w:val="2"/>
          <w:lang w:eastAsia="ar-SA"/>
        </w:rPr>
        <w:t>ParER</w:t>
      </w:r>
      <w:proofErr w:type="spellEnd"/>
      <w:r w:rsidRPr="00B14814">
        <w:rPr>
          <w:rFonts w:ascii="Verdana" w:hAnsi="Verdana" w:cs="Tahoma"/>
          <w:kern w:val="2"/>
          <w:lang w:eastAsia="ar-SA"/>
        </w:rPr>
        <w:t xml:space="preserve">). Le funzioni di conservazione digitale e di restituzione dei documenti ai fini di accesso e ricerca sono disciplinate dalla specifica Convenzione siglata tra l’Ente </w:t>
      </w:r>
      <w:r w:rsidRPr="0015413F">
        <w:rPr>
          <w:rFonts w:ascii="Verdana" w:hAnsi="Verdana" w:cs="Tahoma"/>
          <w:kern w:val="2"/>
          <w:lang w:eastAsia="ar-SA"/>
        </w:rPr>
        <w:t xml:space="preserve">e </w:t>
      </w:r>
      <w:r w:rsidR="00BE1289" w:rsidRPr="0015413F">
        <w:rPr>
          <w:rFonts w:ascii="Verdana" w:hAnsi="Verdana" w:cs="Tahoma"/>
          <w:kern w:val="2"/>
          <w:lang w:eastAsia="ar-SA"/>
        </w:rPr>
        <w:t xml:space="preserve">il </w:t>
      </w:r>
      <w:proofErr w:type="spellStart"/>
      <w:r w:rsidR="00BE1289" w:rsidRPr="0015413F">
        <w:rPr>
          <w:rFonts w:ascii="Verdana" w:hAnsi="Verdana" w:cs="Tahoma"/>
          <w:kern w:val="2"/>
          <w:lang w:eastAsia="ar-SA"/>
        </w:rPr>
        <w:t>ParER</w:t>
      </w:r>
      <w:proofErr w:type="spellEnd"/>
      <w:r w:rsidR="00BE1289" w:rsidRPr="0015413F">
        <w:rPr>
          <w:rFonts w:ascii="Verdana" w:hAnsi="Verdana" w:cs="Tahoma"/>
          <w:kern w:val="2"/>
          <w:lang w:eastAsia="ar-SA"/>
        </w:rPr>
        <w:t xml:space="preserve"> </w:t>
      </w:r>
      <w:r w:rsidRPr="0015413F">
        <w:rPr>
          <w:rFonts w:ascii="Verdana" w:hAnsi="Verdana" w:cs="Tahoma"/>
          <w:kern w:val="2"/>
          <w:lang w:eastAsia="ar-SA"/>
        </w:rPr>
        <w:t>e</w:t>
      </w:r>
      <w:r w:rsidRPr="00B14814">
        <w:rPr>
          <w:rFonts w:ascii="Verdana" w:hAnsi="Verdana" w:cs="Tahoma"/>
          <w:kern w:val="2"/>
          <w:lang w:eastAsia="ar-SA"/>
        </w:rPr>
        <w:t xml:space="preserve"> dai documenti in essa citati, a cui si rimanda;</w:t>
      </w:r>
    </w:p>
    <w:p w14:paraId="59DFFDA5" w14:textId="77777777" w:rsidR="00B14814" w:rsidRPr="00B14814" w:rsidRDefault="00B14814" w:rsidP="006F05B5">
      <w:pPr>
        <w:widowControl/>
        <w:numPr>
          <w:ilvl w:val="0"/>
          <w:numId w:val="7"/>
        </w:numPr>
        <w:suppressAutoHyphens/>
        <w:adjustRightInd/>
        <w:spacing w:line="360" w:lineRule="auto"/>
        <w:ind w:left="1134" w:hanging="425"/>
        <w:rPr>
          <w:rFonts w:ascii="Verdana" w:hAnsi="Verdana" w:cs="Tahoma"/>
          <w:kern w:val="2"/>
          <w:lang w:eastAsia="ar-SA"/>
        </w:rPr>
      </w:pPr>
      <w:r w:rsidRPr="00B14814">
        <w:rPr>
          <w:rFonts w:ascii="Verdana" w:hAnsi="Verdana" w:cs="Tahoma"/>
          <w:kern w:val="2"/>
          <w:lang w:eastAsia="ar-SA"/>
        </w:rPr>
        <w:t xml:space="preserve">creare, altresì, le condizioni tecniche per la ricezione e l’invio dei documenti attraverso l’infrastruttura PEPPOL per la quale Intercent-ER </w:t>
      </w:r>
      <w:r w:rsidRPr="00B14814">
        <w:rPr>
          <w:rFonts w:ascii="Verdana" w:hAnsi="Verdana" w:cs="Tahoma"/>
          <w:kern w:val="2"/>
          <w:lang w:eastAsia="ar-SA"/>
        </w:rPr>
        <w:lastRenderedPageBreak/>
        <w:t xml:space="preserve">opera quale fornitore dei servizi di accesso (Access Point Provider), indicizzazione e qualificazione (SMP Provider), in base agli Accordi sottoscritti con la PEPPOL </w:t>
      </w:r>
      <w:proofErr w:type="spellStart"/>
      <w:r w:rsidRPr="00B14814">
        <w:rPr>
          <w:rFonts w:ascii="Verdana" w:hAnsi="Verdana" w:cs="Tahoma"/>
          <w:kern w:val="2"/>
          <w:lang w:eastAsia="ar-SA"/>
        </w:rPr>
        <w:t>Coordinating</w:t>
      </w:r>
      <w:proofErr w:type="spellEnd"/>
      <w:r w:rsidRPr="00B14814">
        <w:rPr>
          <w:rFonts w:ascii="Verdana" w:hAnsi="Verdana" w:cs="Tahoma"/>
          <w:kern w:val="2"/>
          <w:lang w:eastAsia="ar-SA"/>
        </w:rPr>
        <w:t xml:space="preserve"> Authority </w:t>
      </w:r>
      <w:proofErr w:type="spellStart"/>
      <w:r w:rsidRPr="00B14814">
        <w:rPr>
          <w:rFonts w:ascii="Verdana" w:hAnsi="Verdana" w:cs="Tahoma"/>
          <w:kern w:val="2"/>
          <w:lang w:eastAsia="ar-SA"/>
        </w:rPr>
        <w:t>OpenPEPPOL</w:t>
      </w:r>
      <w:proofErr w:type="spellEnd"/>
      <w:r w:rsidRPr="00B14814">
        <w:rPr>
          <w:rFonts w:ascii="Verdana" w:hAnsi="Verdana" w:cs="Tahoma"/>
          <w:kern w:val="2"/>
          <w:lang w:eastAsia="ar-SA"/>
        </w:rPr>
        <w:t xml:space="preserve"> AISBL </w:t>
      </w:r>
      <w:bookmarkStart w:id="1" w:name="_Hlk509236296"/>
      <w:r w:rsidRPr="00B14814">
        <w:rPr>
          <w:rFonts w:ascii="Verdana" w:hAnsi="Verdana" w:cs="Tahoma"/>
          <w:kern w:val="2"/>
          <w:lang w:eastAsia="ar-SA"/>
        </w:rPr>
        <w:t>e con la PEPPOL Authority nazionale AGID</w:t>
      </w:r>
      <w:bookmarkEnd w:id="1"/>
      <w:r w:rsidRPr="00B14814">
        <w:rPr>
          <w:rFonts w:ascii="Verdana" w:hAnsi="Verdana" w:cs="Tahoma"/>
          <w:kern w:val="2"/>
          <w:lang w:eastAsia="ar-SA"/>
        </w:rPr>
        <w:t>.</w:t>
      </w:r>
    </w:p>
    <w:p w14:paraId="011293DD" w14:textId="77777777" w:rsidR="00B14814" w:rsidRPr="00B14814" w:rsidRDefault="00B14814" w:rsidP="006F05B5">
      <w:pPr>
        <w:widowControl/>
        <w:suppressAutoHyphens/>
        <w:adjustRightInd/>
        <w:spacing w:line="360" w:lineRule="auto"/>
        <w:ind w:left="1134"/>
        <w:rPr>
          <w:rFonts w:ascii="Verdana" w:hAnsi="Verdana" w:cs="Tahoma"/>
          <w:kern w:val="2"/>
          <w:lang w:eastAsia="ar-SA"/>
        </w:rPr>
      </w:pPr>
    </w:p>
    <w:p w14:paraId="40BF2E7F"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3</w:t>
      </w:r>
    </w:p>
    <w:p w14:paraId="0167943C"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(Attivazione dei servizi del </w:t>
      </w:r>
      <w:proofErr w:type="spellStart"/>
      <w:r w:rsidRPr="00B14814">
        <w:rPr>
          <w:rFonts w:ascii="Verdana" w:hAnsi="Verdana" w:cs="Tahoma"/>
          <w:b/>
          <w:kern w:val="2"/>
          <w:lang w:eastAsia="ar-SA"/>
        </w:rPr>
        <w:t>NoTI</w:t>
      </w:r>
      <w:proofErr w:type="spellEnd"/>
      <w:r w:rsidRPr="00B14814">
        <w:rPr>
          <w:rFonts w:ascii="Verdana" w:hAnsi="Verdana" w:cs="Tahoma"/>
          <w:b/>
          <w:kern w:val="2"/>
          <w:lang w:eastAsia="ar-SA"/>
        </w:rPr>
        <w:t>-ER)</w:t>
      </w:r>
    </w:p>
    <w:p w14:paraId="7DAE756B" w14:textId="6770D2DD" w:rsidR="00B14814" w:rsidRPr="00801911" w:rsidRDefault="00B14814" w:rsidP="00801911">
      <w:pPr>
        <w:widowControl/>
        <w:numPr>
          <w:ilvl w:val="0"/>
          <w:numId w:val="21"/>
        </w:numPr>
        <w:suppressAutoHyphens/>
        <w:adjustRightInd/>
        <w:spacing w:line="360" w:lineRule="auto"/>
        <w:ind w:left="709" w:hanging="425"/>
        <w:rPr>
          <w:rFonts w:ascii="Verdana" w:eastAsia="Lucida Sans Unicode" w:hAnsi="Verdana" w:cs="Tahoma"/>
          <w:strike/>
          <w:color w:val="FF0000"/>
          <w:kern w:val="2"/>
          <w:lang w:eastAsia="ar-SA"/>
        </w:rPr>
      </w:pPr>
      <w:r w:rsidRPr="00B14814">
        <w:rPr>
          <w:rFonts w:ascii="Verdana" w:eastAsia="Lucida Sans Unicode" w:hAnsi="Verdana" w:cs="Tahoma"/>
          <w:kern w:val="2"/>
          <w:lang w:eastAsia="ar-SA"/>
        </w:rPr>
        <w:t xml:space="preserve">L’Ente che intenda utilizzare il predetto servizio, deve essere dotato della strumentazione tecnica ed informatica software </w:t>
      </w:r>
      <w:proofErr w:type="spellStart"/>
      <w:r w:rsidRPr="00B14814">
        <w:rPr>
          <w:rFonts w:ascii="Verdana" w:eastAsia="Lucida Sans Unicode" w:hAnsi="Verdana" w:cs="Tahoma"/>
          <w:kern w:val="2"/>
          <w:lang w:eastAsia="ar-SA"/>
        </w:rPr>
        <w:t>ed</w:t>
      </w:r>
      <w:proofErr w:type="spellEnd"/>
      <w:r w:rsidRPr="00B14814">
        <w:rPr>
          <w:rFonts w:ascii="Verdana" w:eastAsia="Lucida Sans Unicode" w:hAnsi="Verdana" w:cs="Tahoma"/>
          <w:kern w:val="2"/>
          <w:lang w:eastAsia="ar-SA"/>
        </w:rPr>
        <w:t xml:space="preserve"> hardware necessaria ad assicurare l’interfacciamento e il collegamento del proprio sistema con il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 secondo i termini e le modalità stabilite  sul sito internet di Intercent-ER:</w:t>
      </w:r>
      <w:r w:rsidR="00816D6F">
        <w:rPr>
          <w:rFonts w:ascii="Verdana" w:eastAsia="Lucida Sans Unicode" w:hAnsi="Verdana" w:cs="Tahoma"/>
          <w:kern w:val="2"/>
          <w:lang w:eastAsia="ar-SA"/>
        </w:rPr>
        <w:t xml:space="preserve"> </w:t>
      </w:r>
      <w:bookmarkStart w:id="2" w:name="_Hlk86136189"/>
      <w:r w:rsidR="00801911">
        <w:rPr>
          <w:rFonts w:ascii="Verdana" w:eastAsia="Lucida Sans Unicode" w:hAnsi="Verdana" w:cs="Tahoma"/>
          <w:kern w:val="2"/>
          <w:lang w:eastAsia="ar-SA"/>
        </w:rPr>
        <w:fldChar w:fldCharType="begin"/>
      </w:r>
      <w:r w:rsidR="00801911">
        <w:rPr>
          <w:rFonts w:ascii="Verdana" w:eastAsia="Lucida Sans Unicode" w:hAnsi="Verdana" w:cs="Tahoma"/>
          <w:kern w:val="2"/>
          <w:lang w:eastAsia="ar-SA"/>
        </w:rPr>
        <w:instrText>HYPERLINK "</w:instrText>
      </w:r>
      <w:r w:rsidR="00801911" w:rsidRPr="00801911">
        <w:rPr>
          <w:rFonts w:ascii="Verdana" w:eastAsia="Lucida Sans Unicode" w:hAnsi="Verdana" w:cs="Tahoma"/>
          <w:kern w:val="2"/>
          <w:lang w:eastAsia="ar-SA"/>
        </w:rPr>
        <w:instrText>https://intercenter.regione.emilia-romagna.it/noti-er-ordini-ddt-fatture/indicazioni-per-gli-enti/interoperabilita-con-noti-er/integrazione-con-i-servizi-di-interoperabilita-di-noti-er</w:instrText>
      </w:r>
      <w:r w:rsidR="00801911">
        <w:rPr>
          <w:rFonts w:ascii="Verdana" w:eastAsia="Lucida Sans Unicode" w:hAnsi="Verdana" w:cs="Tahoma"/>
          <w:kern w:val="2"/>
          <w:lang w:eastAsia="ar-SA"/>
        </w:rPr>
        <w:instrText>"</w:instrText>
      </w:r>
      <w:r w:rsidR="00801911">
        <w:rPr>
          <w:rFonts w:ascii="Verdana" w:eastAsia="Lucida Sans Unicode" w:hAnsi="Verdana" w:cs="Tahoma"/>
          <w:kern w:val="2"/>
          <w:lang w:eastAsia="ar-SA"/>
        </w:rPr>
      </w:r>
      <w:r w:rsidR="00801911">
        <w:rPr>
          <w:rFonts w:ascii="Verdana" w:eastAsia="Lucida Sans Unicode" w:hAnsi="Verdana" w:cs="Tahoma"/>
          <w:kern w:val="2"/>
          <w:lang w:eastAsia="ar-SA"/>
        </w:rPr>
        <w:fldChar w:fldCharType="separate"/>
      </w:r>
      <w:r w:rsidR="00801911" w:rsidRPr="00913971">
        <w:rPr>
          <w:rStyle w:val="Collegamentoipertestuale"/>
          <w:rFonts w:ascii="Verdana" w:eastAsia="Lucida Sans Unicode" w:hAnsi="Verdana" w:cs="Tahoma"/>
          <w:kern w:val="2"/>
          <w:lang w:eastAsia="ar-SA"/>
        </w:rPr>
        <w:t>https://intercenter.regione.emilia-romagna.it/noti-er-ordini-ddt-fatture/indicazioni-per-gli-enti/interoperabilita-con-noti-er/integrazione-con-i-servizi-di-interoperabilita-di-noti-er</w:t>
      </w:r>
      <w:r w:rsidR="00801911">
        <w:rPr>
          <w:rFonts w:ascii="Verdana" w:eastAsia="Lucida Sans Unicode" w:hAnsi="Verdana" w:cs="Tahoma"/>
          <w:kern w:val="2"/>
          <w:lang w:eastAsia="ar-SA"/>
        </w:rPr>
        <w:fldChar w:fldCharType="end"/>
      </w:r>
      <w:r w:rsidR="00816D6F" w:rsidRPr="00801911">
        <w:rPr>
          <w:rFonts w:ascii="Verdana" w:eastAsia="Lucida Sans Unicode" w:hAnsi="Verdana" w:cs="Tahoma"/>
          <w:kern w:val="2"/>
          <w:lang w:eastAsia="ar-SA"/>
        </w:rPr>
        <w:t xml:space="preserve">   </w:t>
      </w:r>
      <w:r w:rsidRPr="00801911">
        <w:rPr>
          <w:rFonts w:ascii="Verdana" w:eastAsia="Lucida Sans Unicode" w:hAnsi="Verdana" w:cs="Tahoma"/>
          <w:kern w:val="2"/>
          <w:lang w:eastAsia="ar-SA"/>
        </w:rPr>
        <w:t xml:space="preserve"> </w:t>
      </w:r>
      <w:bookmarkEnd w:id="2"/>
    </w:p>
    <w:p w14:paraId="3819DE49" w14:textId="77777777" w:rsidR="000D35E6" w:rsidRDefault="00B14814" w:rsidP="000044D8">
      <w:pPr>
        <w:widowControl/>
        <w:numPr>
          <w:ilvl w:val="0"/>
          <w:numId w:val="21"/>
        </w:numPr>
        <w:suppressAutoHyphens/>
        <w:adjustRightInd/>
        <w:spacing w:line="360" w:lineRule="auto"/>
        <w:ind w:left="709" w:hanging="425"/>
        <w:rPr>
          <w:rFonts w:ascii="Verdana" w:eastAsia="Lucida Sans Unicode" w:hAnsi="Verdana" w:cs="Tahoma"/>
          <w:kern w:val="2"/>
          <w:lang w:eastAsia="ar-SA"/>
        </w:rPr>
      </w:pPr>
      <w:r w:rsidRPr="00B14814">
        <w:rPr>
          <w:rFonts w:ascii="Verdana" w:eastAsia="Lucida Sans Unicode" w:hAnsi="Verdana" w:cs="Tahoma"/>
          <w:kern w:val="2"/>
          <w:lang w:eastAsia="ar-SA"/>
        </w:rPr>
        <w:t xml:space="preserve">Per l’attivazione dei servizi del </w:t>
      </w:r>
      <w:proofErr w:type="spellStart"/>
      <w:r w:rsidRPr="00B14814">
        <w:rPr>
          <w:rFonts w:ascii="Verdana" w:eastAsia="Lucida Sans Unicode" w:hAnsi="Verdana" w:cs="Tahoma"/>
          <w:kern w:val="2"/>
          <w:lang w:eastAsia="ar-SA"/>
        </w:rPr>
        <w:t>NoTI</w:t>
      </w:r>
      <w:proofErr w:type="spellEnd"/>
      <w:r w:rsidRPr="00B14814">
        <w:rPr>
          <w:rFonts w:ascii="Verdana" w:eastAsia="Lucida Sans Unicode" w:hAnsi="Verdana" w:cs="Tahoma"/>
          <w:kern w:val="2"/>
          <w:lang w:eastAsia="ar-SA"/>
        </w:rPr>
        <w:t>-ER, l’Ente è tenuto a seguire la procedura di registrazione ed accreditamento dei nuovi utenti, messa a disposizione sul sito sopra citato.</w:t>
      </w:r>
    </w:p>
    <w:p w14:paraId="0DFDFA6E" w14:textId="77777777" w:rsidR="000D35E6" w:rsidRDefault="00B14814" w:rsidP="000044D8">
      <w:pPr>
        <w:widowControl/>
        <w:numPr>
          <w:ilvl w:val="0"/>
          <w:numId w:val="21"/>
        </w:numPr>
        <w:suppressAutoHyphens/>
        <w:adjustRightInd/>
        <w:spacing w:line="360" w:lineRule="auto"/>
        <w:ind w:left="709" w:hanging="425"/>
        <w:rPr>
          <w:rFonts w:ascii="Verdana" w:eastAsia="Lucida Sans Unicode" w:hAnsi="Verdana" w:cs="Tahoma"/>
          <w:kern w:val="2"/>
          <w:lang w:eastAsia="ar-SA"/>
        </w:rPr>
      </w:pPr>
      <w:r w:rsidRPr="000D35E6">
        <w:rPr>
          <w:rFonts w:ascii="Verdana" w:eastAsia="Lucida Sans Unicode" w:hAnsi="Verdana" w:cs="Tahoma"/>
          <w:kern w:val="2"/>
          <w:lang w:eastAsia="ar-SA"/>
        </w:rPr>
        <w:t xml:space="preserve">A tal fine l’Ente, al momento della registrazione, ha l’onere di trasmettere tutte le informazioni necessarie previste dalla procedura di registrazione, impegnandosi a comunicare le eventuali variazioni che dovessero sopraggiungere. </w:t>
      </w:r>
    </w:p>
    <w:p w14:paraId="362ECD5C" w14:textId="77777777" w:rsidR="000D35E6" w:rsidRDefault="00B14814" w:rsidP="000044D8">
      <w:pPr>
        <w:widowControl/>
        <w:numPr>
          <w:ilvl w:val="0"/>
          <w:numId w:val="21"/>
        </w:numPr>
        <w:suppressAutoHyphens/>
        <w:adjustRightInd/>
        <w:spacing w:line="360" w:lineRule="auto"/>
        <w:ind w:left="709" w:hanging="425"/>
        <w:rPr>
          <w:rFonts w:ascii="Verdana" w:eastAsia="Lucida Sans Unicode" w:hAnsi="Verdana" w:cs="Tahoma"/>
          <w:kern w:val="2"/>
          <w:lang w:eastAsia="ar-SA"/>
        </w:rPr>
      </w:pPr>
      <w:r w:rsidRPr="000044D8">
        <w:rPr>
          <w:rFonts w:ascii="Verdana" w:eastAsia="Lucida Sans Unicode" w:hAnsi="Verdana" w:cs="Tahoma"/>
          <w:kern w:val="2"/>
          <w:lang w:eastAsia="ar-SA"/>
        </w:rPr>
        <w:t>In ogni caso, il servizio è attivato da Intercent-ER solo ed esclusivamente a seguito del superamento, con esito positivo, da parte dell’Ente, delle prove di interoperabilità e la conseguente consegna da Intercent-ER all’Ente stesso dei certificati elettronici di identificazione e relative password.</w:t>
      </w:r>
    </w:p>
    <w:p w14:paraId="2C4E98BF" w14:textId="059FBB7A" w:rsidR="00B14814" w:rsidRPr="00816D6F" w:rsidRDefault="00B14814" w:rsidP="000044D8">
      <w:pPr>
        <w:widowControl/>
        <w:numPr>
          <w:ilvl w:val="0"/>
          <w:numId w:val="21"/>
        </w:numPr>
        <w:suppressAutoHyphens/>
        <w:adjustRightInd/>
        <w:spacing w:line="360" w:lineRule="auto"/>
        <w:ind w:left="709" w:hanging="425"/>
        <w:rPr>
          <w:rFonts w:ascii="Verdana" w:eastAsia="Lucida Sans Unicode" w:hAnsi="Verdana" w:cs="Tahoma"/>
          <w:kern w:val="2"/>
          <w:lang w:eastAsia="ar-SA"/>
        </w:rPr>
      </w:pPr>
      <w:r w:rsidRPr="000D35E6">
        <w:rPr>
          <w:rFonts w:ascii="Verdana" w:eastAsia="Lucida Sans Unicode" w:hAnsi="Verdana"/>
          <w:kern w:val="2"/>
          <w:lang w:eastAsia="ar-SA"/>
        </w:rPr>
        <w:t xml:space="preserve">Relativamente all’attivazione dei servizi di conservazione, laddove richiesti, l’Ente è tenuto a sottoscrivere specifica Convenzione, secondo le procedure operative indicate nel sito internet </w:t>
      </w:r>
      <w:bookmarkStart w:id="3" w:name="_Hlk86136274"/>
      <w:r w:rsidR="00BE1289">
        <w:rPr>
          <w:rFonts w:ascii="Verdana" w:eastAsia="Lucida Sans Unicode" w:hAnsi="Verdana"/>
          <w:kern w:val="2"/>
          <w:lang w:eastAsia="ar-SA"/>
        </w:rPr>
        <w:t xml:space="preserve">di </w:t>
      </w:r>
      <w:proofErr w:type="spellStart"/>
      <w:r w:rsidR="00BE1289">
        <w:rPr>
          <w:rFonts w:ascii="Verdana" w:eastAsia="Lucida Sans Unicode" w:hAnsi="Verdana"/>
          <w:kern w:val="2"/>
          <w:lang w:eastAsia="ar-SA"/>
        </w:rPr>
        <w:t>ParER</w:t>
      </w:r>
      <w:proofErr w:type="spellEnd"/>
      <w:r w:rsidR="00BE1289">
        <w:rPr>
          <w:rFonts w:ascii="Verdana" w:eastAsia="Lucida Sans Unicode" w:hAnsi="Verdana"/>
          <w:kern w:val="2"/>
          <w:lang w:eastAsia="ar-SA"/>
        </w:rPr>
        <w:t xml:space="preserve">: </w:t>
      </w:r>
      <w:hyperlink r:id="rId10" w:history="1">
        <w:r w:rsidR="00BE1289" w:rsidRPr="00D334EB">
          <w:rPr>
            <w:rStyle w:val="Collegamentoipertestuale"/>
            <w:rFonts w:ascii="Verdana" w:eastAsia="Lucida Sans Unicode" w:hAnsi="Verdana"/>
            <w:kern w:val="2"/>
            <w:lang w:eastAsia="ar-SA"/>
          </w:rPr>
          <w:t>https://poloarchivistico.regione.emilia-romagna.it/</w:t>
        </w:r>
      </w:hyperlink>
      <w:bookmarkEnd w:id="3"/>
    </w:p>
    <w:p w14:paraId="5E46B3D9" w14:textId="77777777" w:rsidR="00B14814" w:rsidRPr="00B14814" w:rsidRDefault="00B14814" w:rsidP="006F05B5">
      <w:pPr>
        <w:widowControl/>
        <w:suppressAutoHyphens/>
        <w:adjustRightInd/>
        <w:spacing w:line="360" w:lineRule="auto"/>
        <w:jc w:val="center"/>
        <w:rPr>
          <w:rFonts w:ascii="Verdana" w:hAnsi="Verdana" w:cs="Tahoma"/>
          <w:b/>
          <w:kern w:val="2"/>
          <w:lang w:eastAsia="ar-SA"/>
        </w:rPr>
      </w:pPr>
    </w:p>
    <w:p w14:paraId="02860B1E" w14:textId="1E5B3113" w:rsidR="00164270" w:rsidRPr="0009031E" w:rsidRDefault="00164270" w:rsidP="00D0299C">
      <w:pPr>
        <w:keepNext/>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t xml:space="preserve">Art. </w:t>
      </w:r>
      <w:r>
        <w:rPr>
          <w:rFonts w:ascii="Verdana" w:hAnsi="Verdana" w:cs="Tahoma"/>
          <w:b/>
          <w:color w:val="000000"/>
          <w:kern w:val="1"/>
          <w:lang w:eastAsia="ar-SA"/>
        </w:rPr>
        <w:t>4</w:t>
      </w:r>
    </w:p>
    <w:p w14:paraId="7C13FF95"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 (Strumenti di consultazione e controllo) </w:t>
      </w:r>
    </w:p>
    <w:p w14:paraId="2640F8D5" w14:textId="77777777" w:rsidR="00B14814" w:rsidRPr="00B14814" w:rsidRDefault="00B14814" w:rsidP="006F05B5">
      <w:pPr>
        <w:widowControl/>
        <w:numPr>
          <w:ilvl w:val="0"/>
          <w:numId w:val="9"/>
        </w:numPr>
        <w:suppressAutoHyphens/>
        <w:adjustRightInd/>
        <w:spacing w:line="360" w:lineRule="auto"/>
        <w:rPr>
          <w:rFonts w:ascii="Verdana" w:hAnsi="Verdana" w:cs="Tahoma"/>
          <w:color w:val="000000"/>
          <w:kern w:val="2"/>
          <w:lang w:eastAsia="ar-SA"/>
        </w:rPr>
      </w:pPr>
      <w:proofErr w:type="spellStart"/>
      <w:r w:rsidRPr="00B14814">
        <w:rPr>
          <w:rFonts w:ascii="Verdana" w:hAnsi="Verdana" w:cs="Tahoma"/>
          <w:kern w:val="2"/>
          <w:lang w:eastAsia="ar-SA"/>
        </w:rPr>
        <w:t>NoTI</w:t>
      </w:r>
      <w:proofErr w:type="spellEnd"/>
      <w:r w:rsidRPr="00B14814">
        <w:rPr>
          <w:rFonts w:ascii="Verdana" w:hAnsi="Verdana" w:cs="Tahoma"/>
          <w:kern w:val="2"/>
          <w:lang w:eastAsia="ar-SA"/>
        </w:rPr>
        <w:t xml:space="preserve">-ER consente all'Ente l’accesso ai propri sistemi </w:t>
      </w:r>
      <w:r w:rsidRPr="00B14814">
        <w:rPr>
          <w:rFonts w:ascii="Verdana" w:hAnsi="Verdana" w:cs="Tahoma"/>
          <w:color w:val="000000"/>
          <w:kern w:val="2"/>
          <w:lang w:eastAsia="ar-SA"/>
        </w:rPr>
        <w:t>per verificare il corretto svolgimento dell’attività di emissione per conto, trasmissione e ricezione dei documenti e per consultare il dettaglio delle transazioni eseguite.</w:t>
      </w:r>
    </w:p>
    <w:p w14:paraId="2596C70B" w14:textId="5D65F5C6" w:rsidR="00B14814" w:rsidRPr="004142F3" w:rsidRDefault="00B14814" w:rsidP="006F05B5">
      <w:pPr>
        <w:widowControl/>
        <w:numPr>
          <w:ilvl w:val="0"/>
          <w:numId w:val="9"/>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L’accesso</w:t>
      </w:r>
      <w:r w:rsidR="004142F3">
        <w:rPr>
          <w:rFonts w:ascii="Verdana" w:hAnsi="Verdana" w:cs="Tahoma"/>
          <w:kern w:val="2"/>
          <w:lang w:eastAsia="ar-SA"/>
        </w:rPr>
        <w:t xml:space="preserve"> </w:t>
      </w:r>
      <w:r w:rsidRPr="004142F3">
        <w:rPr>
          <w:rFonts w:ascii="Verdana" w:hAnsi="Verdana" w:cs="Tahoma"/>
          <w:kern w:val="2"/>
          <w:lang w:eastAsia="ar-SA"/>
        </w:rPr>
        <w:t xml:space="preserve">ai documenti conservati attraverso il </w:t>
      </w:r>
      <w:proofErr w:type="spellStart"/>
      <w:r w:rsidRPr="004142F3">
        <w:rPr>
          <w:rFonts w:ascii="Verdana" w:hAnsi="Verdana" w:cs="Tahoma"/>
          <w:kern w:val="2"/>
          <w:lang w:eastAsia="ar-SA"/>
        </w:rPr>
        <w:t>ParER</w:t>
      </w:r>
      <w:proofErr w:type="spellEnd"/>
      <w:r w:rsidRPr="004142F3">
        <w:rPr>
          <w:rFonts w:ascii="Verdana" w:hAnsi="Verdana" w:cs="Tahoma"/>
          <w:kern w:val="2"/>
          <w:lang w:eastAsia="ar-SA"/>
        </w:rPr>
        <w:t xml:space="preserve"> avviene con le modalità e i tempi definiti dall’apposito Disciplinare Tecnico previsto dalla Convezione </w:t>
      </w:r>
      <w:proofErr w:type="spellStart"/>
      <w:r w:rsidRPr="004142F3">
        <w:rPr>
          <w:rFonts w:ascii="Verdana" w:hAnsi="Verdana" w:cs="Tahoma"/>
          <w:kern w:val="2"/>
          <w:lang w:eastAsia="ar-SA"/>
        </w:rPr>
        <w:t>ParER</w:t>
      </w:r>
      <w:proofErr w:type="spellEnd"/>
      <w:r w:rsidRPr="004142F3">
        <w:rPr>
          <w:rFonts w:ascii="Verdana" w:hAnsi="Verdana" w:cs="Tahoma"/>
          <w:kern w:val="2"/>
          <w:lang w:eastAsia="ar-SA"/>
        </w:rPr>
        <w:t>.</w:t>
      </w:r>
    </w:p>
    <w:p w14:paraId="389E9E4F" w14:textId="77777777" w:rsidR="005E2D60" w:rsidRPr="0009031E" w:rsidRDefault="005E2D60" w:rsidP="006F05B5">
      <w:pPr>
        <w:widowControl/>
        <w:suppressAutoHyphens/>
        <w:adjustRightInd/>
        <w:spacing w:line="360" w:lineRule="auto"/>
        <w:rPr>
          <w:rFonts w:ascii="Verdana" w:hAnsi="Verdana" w:cs="Tahoma"/>
          <w:b/>
          <w:kern w:val="1"/>
          <w:lang w:eastAsia="ar-SA"/>
        </w:rPr>
      </w:pPr>
    </w:p>
    <w:p w14:paraId="382C1172" w14:textId="77777777" w:rsidR="005E2D60" w:rsidRPr="0009031E" w:rsidRDefault="005E2D60" w:rsidP="00D0299C">
      <w:pPr>
        <w:keepNext/>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lastRenderedPageBreak/>
        <w:t xml:space="preserve">Art. </w:t>
      </w:r>
      <w:r w:rsidRPr="0009031E">
        <w:rPr>
          <w:rFonts w:ascii="Verdana" w:hAnsi="Verdana" w:cs="Tahoma"/>
          <w:b/>
          <w:color w:val="000000"/>
          <w:kern w:val="1"/>
          <w:lang w:eastAsia="ar-SA"/>
        </w:rPr>
        <w:t>5</w:t>
      </w:r>
    </w:p>
    <w:p w14:paraId="0DA6069A" w14:textId="77777777" w:rsidR="005E2D60" w:rsidRPr="0009031E" w:rsidRDefault="005E2D60" w:rsidP="00D0299C">
      <w:pPr>
        <w:keepNext/>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t>(Oneri)</w:t>
      </w:r>
    </w:p>
    <w:p w14:paraId="1DB7613C" w14:textId="2F7ACB0A" w:rsidR="00D0299C" w:rsidRDefault="00D0299C" w:rsidP="00D0299C">
      <w:pPr>
        <w:widowControl/>
        <w:numPr>
          <w:ilvl w:val="0"/>
          <w:numId w:val="20"/>
        </w:numPr>
        <w:suppressAutoHyphens/>
        <w:adjustRightInd/>
        <w:spacing w:line="360" w:lineRule="auto"/>
        <w:rPr>
          <w:rFonts w:ascii="Verdana" w:hAnsi="Verdana" w:cs="Tahoma"/>
          <w:color w:val="000000"/>
          <w:kern w:val="2"/>
          <w:lang w:eastAsia="ar-SA"/>
        </w:rPr>
      </w:pPr>
      <w:r>
        <w:rPr>
          <w:rFonts w:ascii="Verdana" w:hAnsi="Verdana"/>
          <w:kern w:val="1"/>
          <w:lang w:eastAsia="ar-SA"/>
        </w:rPr>
        <w:t xml:space="preserve">A </w:t>
      </w:r>
      <w:r>
        <w:rPr>
          <w:rFonts w:ascii="Verdana" w:hAnsi="Verdana" w:cs="Tahoma"/>
          <w:color w:val="000000"/>
          <w:kern w:val="2"/>
          <w:lang w:eastAsia="ar-SA"/>
        </w:rPr>
        <w:t xml:space="preserve">titolo di rimborso dei costi sostenuti per l’attivazione e la gestione delle funzioni oggetto del presente Accordo di Servizio, </w:t>
      </w:r>
      <w:bookmarkStart w:id="4" w:name="_Hlk510535474"/>
      <w:r>
        <w:rPr>
          <w:rFonts w:ascii="Verdana" w:hAnsi="Verdana" w:cs="Tahoma"/>
          <w:color w:val="000000"/>
          <w:kern w:val="2"/>
          <w:lang w:eastAsia="ar-SA"/>
        </w:rPr>
        <w:t xml:space="preserve">l’Ente si impegna a riconoscere ad Intercent-ER l’importo forfettario complessivo pari a </w:t>
      </w:r>
      <w:proofErr w:type="gramStart"/>
      <w:r>
        <w:rPr>
          <w:rFonts w:ascii="Verdana" w:hAnsi="Verdana" w:cs="Tahoma"/>
          <w:color w:val="000000"/>
          <w:kern w:val="2"/>
          <w:lang w:eastAsia="ar-SA"/>
        </w:rPr>
        <w:t>Euro</w:t>
      </w:r>
      <w:proofErr w:type="gramEnd"/>
      <w:r>
        <w:rPr>
          <w:rFonts w:ascii="Verdana" w:hAnsi="Verdana" w:cs="Tahoma"/>
          <w:color w:val="000000"/>
          <w:kern w:val="2"/>
          <w:lang w:eastAsia="ar-SA"/>
        </w:rPr>
        <w:t xml:space="preserve"> …………… (IVA esclusa), per le seguenti tipologie di servizi, così come indicati dalla determinazione n. 4 del 16/01/2018:</w:t>
      </w:r>
      <w:bookmarkEnd w:id="4"/>
    </w:p>
    <w:p w14:paraId="1F19F192" w14:textId="77777777" w:rsidR="00D0299C" w:rsidRDefault="00D0299C" w:rsidP="00D0299C">
      <w:pPr>
        <w:pStyle w:val="Paragrafoelenco"/>
        <w:widowControl/>
        <w:suppressAutoHyphens/>
        <w:adjustRightInd/>
        <w:spacing w:line="360" w:lineRule="auto"/>
        <w:rPr>
          <w:rFonts w:ascii="Verdana" w:hAnsi="Verdana" w:cs="Tahoma"/>
          <w:color w:val="000000"/>
          <w:kern w:val="2"/>
          <w:lang w:eastAsia="ar-SA"/>
        </w:rPr>
      </w:pPr>
    </w:p>
    <w:tbl>
      <w:tblPr>
        <w:tblW w:w="8549" w:type="dxa"/>
        <w:tblCellMar>
          <w:left w:w="70" w:type="dxa"/>
          <w:right w:w="70" w:type="dxa"/>
        </w:tblCellMar>
        <w:tblLook w:val="04A0" w:firstRow="1" w:lastRow="0" w:firstColumn="1" w:lastColumn="0" w:noHBand="0" w:noVBand="1"/>
      </w:tblPr>
      <w:tblGrid>
        <w:gridCol w:w="5989"/>
        <w:gridCol w:w="1367"/>
        <w:gridCol w:w="1193"/>
      </w:tblGrid>
      <w:tr w:rsidR="00D0299C" w:rsidRPr="00AD1296" w14:paraId="12C30416" w14:textId="77777777" w:rsidTr="000D35E6">
        <w:trPr>
          <w:trHeight w:val="956"/>
          <w:tblHeader/>
        </w:trPr>
        <w:tc>
          <w:tcPr>
            <w:tcW w:w="7356"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1553F69" w14:textId="77777777" w:rsidR="00D0299C" w:rsidRPr="00AD1296" w:rsidRDefault="00D0299C" w:rsidP="001E19D6">
            <w:pPr>
              <w:widowControl/>
              <w:adjustRightInd/>
              <w:spacing w:line="240" w:lineRule="auto"/>
              <w:jc w:val="center"/>
              <w:rPr>
                <w:rFonts w:ascii="Calibri" w:hAnsi="Calibri" w:cs="Calibri"/>
                <w:b/>
                <w:bCs/>
                <w:color w:val="000000"/>
                <w:sz w:val="22"/>
                <w:szCs w:val="22"/>
              </w:rPr>
            </w:pPr>
            <w:r w:rsidRPr="00AD1296">
              <w:rPr>
                <w:rFonts w:ascii="Calibri" w:hAnsi="Calibri" w:cs="Calibri"/>
                <w:b/>
                <w:bCs/>
                <w:color w:val="000000"/>
                <w:sz w:val="22"/>
                <w:szCs w:val="22"/>
              </w:rPr>
              <w:t>RIEPILOGO RIMBORSO COSTI UNA TANTUM</w:t>
            </w:r>
          </w:p>
        </w:tc>
        <w:tc>
          <w:tcPr>
            <w:tcW w:w="1193" w:type="dxa"/>
            <w:tcBorders>
              <w:top w:val="single" w:sz="4" w:space="0" w:color="auto"/>
              <w:left w:val="nil"/>
              <w:bottom w:val="single" w:sz="4" w:space="0" w:color="auto"/>
              <w:right w:val="single" w:sz="4" w:space="0" w:color="auto"/>
            </w:tcBorders>
            <w:shd w:val="clear" w:color="000000" w:fill="D9D9D9"/>
            <w:vAlign w:val="center"/>
            <w:hideMark/>
          </w:tcPr>
          <w:p w14:paraId="7E6E8305" w14:textId="77777777" w:rsidR="00D0299C" w:rsidRDefault="00D0299C" w:rsidP="001E19D6">
            <w:pPr>
              <w:widowControl/>
              <w:adjustRightInd/>
              <w:spacing w:line="240" w:lineRule="auto"/>
              <w:jc w:val="center"/>
              <w:rPr>
                <w:rFonts w:ascii="Calibri" w:hAnsi="Calibri" w:cs="Calibri"/>
                <w:b/>
                <w:bCs/>
                <w:color w:val="000000"/>
                <w:sz w:val="22"/>
                <w:szCs w:val="22"/>
              </w:rPr>
            </w:pPr>
            <w:r w:rsidRPr="00AD1296">
              <w:rPr>
                <w:rFonts w:ascii="Calibri" w:hAnsi="Calibri" w:cs="Calibri"/>
                <w:b/>
                <w:bCs/>
                <w:color w:val="000000"/>
                <w:sz w:val="22"/>
                <w:szCs w:val="22"/>
              </w:rPr>
              <w:t xml:space="preserve">INDICARE CON UNA "X" </w:t>
            </w:r>
          </w:p>
          <w:p w14:paraId="70A55BE3" w14:textId="77777777" w:rsidR="00D0299C" w:rsidRPr="00AD1296" w:rsidRDefault="00D0299C" w:rsidP="001E19D6">
            <w:pPr>
              <w:widowControl/>
              <w:adjustRightInd/>
              <w:spacing w:line="240" w:lineRule="auto"/>
              <w:jc w:val="center"/>
              <w:rPr>
                <w:rFonts w:ascii="Calibri" w:hAnsi="Calibri" w:cs="Calibri"/>
                <w:b/>
                <w:bCs/>
                <w:color w:val="000000"/>
                <w:sz w:val="22"/>
                <w:szCs w:val="22"/>
              </w:rPr>
            </w:pPr>
            <w:r w:rsidRPr="00AD1296">
              <w:rPr>
                <w:rFonts w:ascii="Calibri" w:hAnsi="Calibri" w:cs="Calibri"/>
                <w:b/>
                <w:bCs/>
                <w:color w:val="000000"/>
                <w:sz w:val="22"/>
                <w:szCs w:val="22"/>
              </w:rPr>
              <w:t>I SERVIZI DI INTERESSE</w:t>
            </w:r>
          </w:p>
        </w:tc>
      </w:tr>
      <w:tr w:rsidR="00D0299C" w:rsidRPr="00AD1296" w14:paraId="61FE7DC1" w14:textId="77777777" w:rsidTr="001E19D6">
        <w:trPr>
          <w:trHeight w:val="303"/>
        </w:trPr>
        <w:tc>
          <w:tcPr>
            <w:tcW w:w="5989" w:type="dxa"/>
            <w:tcBorders>
              <w:top w:val="nil"/>
              <w:left w:val="single" w:sz="4" w:space="0" w:color="auto"/>
              <w:bottom w:val="single" w:sz="4" w:space="0" w:color="auto"/>
              <w:right w:val="single" w:sz="4" w:space="0" w:color="auto"/>
            </w:tcBorders>
            <w:shd w:val="clear" w:color="auto" w:fill="auto"/>
            <w:vAlign w:val="bottom"/>
            <w:hideMark/>
          </w:tcPr>
          <w:p w14:paraId="5E8073C4"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RIMBORSO FORFETTARIO UNA TANTUM PER ATTIVAZIONE FATTURA ATTIVA O PASSIVA</w:t>
            </w:r>
          </w:p>
        </w:tc>
        <w:tc>
          <w:tcPr>
            <w:tcW w:w="1366" w:type="dxa"/>
            <w:tcBorders>
              <w:top w:val="nil"/>
              <w:left w:val="nil"/>
              <w:bottom w:val="single" w:sz="4" w:space="0" w:color="auto"/>
              <w:right w:val="single" w:sz="4" w:space="0" w:color="auto"/>
            </w:tcBorders>
            <w:shd w:val="clear" w:color="auto" w:fill="auto"/>
            <w:noWrap/>
            <w:vAlign w:val="bottom"/>
            <w:hideMark/>
          </w:tcPr>
          <w:p w14:paraId="00E613C1"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 xml:space="preserve"> € 3.900,00 </w:t>
            </w:r>
          </w:p>
        </w:tc>
        <w:tc>
          <w:tcPr>
            <w:tcW w:w="1193" w:type="dxa"/>
            <w:tcBorders>
              <w:top w:val="nil"/>
              <w:left w:val="nil"/>
              <w:bottom w:val="single" w:sz="4" w:space="0" w:color="auto"/>
              <w:right w:val="single" w:sz="4" w:space="0" w:color="auto"/>
            </w:tcBorders>
            <w:shd w:val="clear" w:color="auto" w:fill="auto"/>
            <w:noWrap/>
            <w:vAlign w:val="bottom"/>
            <w:hideMark/>
          </w:tcPr>
          <w:p w14:paraId="159075A8" w14:textId="77777777" w:rsidR="00D0299C" w:rsidRPr="00AD1296" w:rsidRDefault="00D0299C" w:rsidP="001E19D6">
            <w:pPr>
              <w:widowControl/>
              <w:adjustRightInd/>
              <w:spacing w:line="240" w:lineRule="auto"/>
              <w:jc w:val="left"/>
              <w:rPr>
                <w:rFonts w:ascii="Calibri" w:hAnsi="Calibri" w:cs="Calibri"/>
                <w:color w:val="000000"/>
                <w:sz w:val="22"/>
                <w:szCs w:val="22"/>
              </w:rPr>
            </w:pPr>
          </w:p>
        </w:tc>
      </w:tr>
      <w:tr w:rsidR="00D0299C" w:rsidRPr="00AD1296" w14:paraId="4FC56DC1" w14:textId="77777777" w:rsidTr="001E19D6">
        <w:trPr>
          <w:trHeight w:val="607"/>
        </w:trPr>
        <w:tc>
          <w:tcPr>
            <w:tcW w:w="5989" w:type="dxa"/>
            <w:tcBorders>
              <w:top w:val="nil"/>
              <w:left w:val="single" w:sz="4" w:space="0" w:color="auto"/>
              <w:bottom w:val="single" w:sz="4" w:space="0" w:color="auto"/>
              <w:right w:val="single" w:sz="4" w:space="0" w:color="auto"/>
            </w:tcBorders>
            <w:shd w:val="clear" w:color="auto" w:fill="auto"/>
            <w:vAlign w:val="bottom"/>
            <w:hideMark/>
          </w:tcPr>
          <w:p w14:paraId="7B2B44A4"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RIMBORSO FORFETTARIO UNA TANTUM PER ATTIVAZIONE 2A COMPONENTE FATTURA (PASSIVA O ATTIVA)</w:t>
            </w:r>
          </w:p>
        </w:tc>
        <w:tc>
          <w:tcPr>
            <w:tcW w:w="1366" w:type="dxa"/>
            <w:tcBorders>
              <w:top w:val="nil"/>
              <w:left w:val="nil"/>
              <w:bottom w:val="single" w:sz="4" w:space="0" w:color="auto"/>
              <w:right w:val="single" w:sz="4" w:space="0" w:color="auto"/>
            </w:tcBorders>
            <w:shd w:val="clear" w:color="auto" w:fill="auto"/>
            <w:noWrap/>
            <w:vAlign w:val="bottom"/>
            <w:hideMark/>
          </w:tcPr>
          <w:p w14:paraId="45F542E9"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 xml:space="preserve"> € 1.500,00 </w:t>
            </w:r>
          </w:p>
        </w:tc>
        <w:tc>
          <w:tcPr>
            <w:tcW w:w="1193" w:type="dxa"/>
            <w:tcBorders>
              <w:top w:val="nil"/>
              <w:left w:val="nil"/>
              <w:bottom w:val="single" w:sz="4" w:space="0" w:color="auto"/>
              <w:right w:val="single" w:sz="4" w:space="0" w:color="auto"/>
            </w:tcBorders>
            <w:shd w:val="clear" w:color="auto" w:fill="auto"/>
            <w:noWrap/>
            <w:vAlign w:val="bottom"/>
            <w:hideMark/>
          </w:tcPr>
          <w:p w14:paraId="6D14BDE2" w14:textId="77777777" w:rsidR="00D0299C" w:rsidRPr="00AD1296" w:rsidRDefault="00D0299C" w:rsidP="001E19D6">
            <w:pPr>
              <w:widowControl/>
              <w:adjustRightInd/>
              <w:spacing w:line="240" w:lineRule="auto"/>
              <w:jc w:val="left"/>
              <w:rPr>
                <w:rFonts w:ascii="Calibri" w:hAnsi="Calibri" w:cs="Calibri"/>
                <w:color w:val="000000"/>
                <w:sz w:val="22"/>
                <w:szCs w:val="22"/>
              </w:rPr>
            </w:pPr>
          </w:p>
        </w:tc>
      </w:tr>
      <w:tr w:rsidR="00D0299C" w:rsidRPr="00AD1296" w14:paraId="4D21E6F4" w14:textId="77777777" w:rsidTr="001E19D6">
        <w:trPr>
          <w:trHeight w:val="607"/>
        </w:trPr>
        <w:tc>
          <w:tcPr>
            <w:tcW w:w="5989" w:type="dxa"/>
            <w:tcBorders>
              <w:top w:val="nil"/>
              <w:left w:val="single" w:sz="4" w:space="0" w:color="auto"/>
              <w:bottom w:val="single" w:sz="4" w:space="0" w:color="auto"/>
              <w:right w:val="single" w:sz="4" w:space="0" w:color="auto"/>
            </w:tcBorders>
            <w:shd w:val="clear" w:color="auto" w:fill="auto"/>
            <w:vAlign w:val="bottom"/>
            <w:hideMark/>
          </w:tcPr>
          <w:p w14:paraId="64105942"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RIMBORSO FORFETTARIO UNA TANTUM PER ATTIVAZIONE INVIO IN CONSERVAZIONE FATTURA E NOTA CREDITO</w:t>
            </w:r>
          </w:p>
        </w:tc>
        <w:tc>
          <w:tcPr>
            <w:tcW w:w="1366" w:type="dxa"/>
            <w:tcBorders>
              <w:top w:val="nil"/>
              <w:left w:val="nil"/>
              <w:bottom w:val="single" w:sz="4" w:space="0" w:color="auto"/>
              <w:right w:val="single" w:sz="4" w:space="0" w:color="auto"/>
            </w:tcBorders>
            <w:shd w:val="clear" w:color="auto" w:fill="auto"/>
            <w:noWrap/>
            <w:vAlign w:val="bottom"/>
            <w:hideMark/>
          </w:tcPr>
          <w:p w14:paraId="623D1224"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 xml:space="preserve"> € 1.900,00 </w:t>
            </w:r>
          </w:p>
        </w:tc>
        <w:tc>
          <w:tcPr>
            <w:tcW w:w="1193" w:type="dxa"/>
            <w:tcBorders>
              <w:top w:val="nil"/>
              <w:left w:val="nil"/>
              <w:bottom w:val="single" w:sz="4" w:space="0" w:color="auto"/>
              <w:right w:val="single" w:sz="4" w:space="0" w:color="auto"/>
            </w:tcBorders>
            <w:shd w:val="clear" w:color="auto" w:fill="auto"/>
            <w:noWrap/>
            <w:vAlign w:val="bottom"/>
            <w:hideMark/>
          </w:tcPr>
          <w:p w14:paraId="5BEDCEC3" w14:textId="77777777" w:rsidR="00D0299C" w:rsidRPr="00AD1296" w:rsidRDefault="00D0299C" w:rsidP="001E19D6">
            <w:pPr>
              <w:widowControl/>
              <w:adjustRightInd/>
              <w:spacing w:line="240" w:lineRule="auto"/>
              <w:jc w:val="left"/>
              <w:rPr>
                <w:rFonts w:ascii="Calibri" w:hAnsi="Calibri" w:cs="Calibri"/>
                <w:color w:val="000000"/>
                <w:sz w:val="22"/>
                <w:szCs w:val="22"/>
              </w:rPr>
            </w:pPr>
          </w:p>
        </w:tc>
      </w:tr>
      <w:tr w:rsidR="00D0299C" w:rsidRPr="00AD1296" w14:paraId="61EDED44" w14:textId="77777777" w:rsidTr="001E19D6">
        <w:trPr>
          <w:trHeight w:val="318"/>
        </w:trPr>
        <w:tc>
          <w:tcPr>
            <w:tcW w:w="5989" w:type="dxa"/>
            <w:tcBorders>
              <w:top w:val="nil"/>
              <w:left w:val="single" w:sz="4" w:space="0" w:color="auto"/>
              <w:bottom w:val="single" w:sz="4" w:space="0" w:color="auto"/>
              <w:right w:val="single" w:sz="4" w:space="0" w:color="auto"/>
            </w:tcBorders>
            <w:shd w:val="clear" w:color="000000" w:fill="D9D9D9"/>
            <w:vAlign w:val="bottom"/>
            <w:hideMark/>
          </w:tcPr>
          <w:p w14:paraId="28A60FDC" w14:textId="77777777" w:rsidR="00D0299C" w:rsidRPr="00AD1296" w:rsidRDefault="00D0299C" w:rsidP="001E19D6">
            <w:pPr>
              <w:widowControl/>
              <w:adjustRightInd/>
              <w:spacing w:line="240" w:lineRule="auto"/>
              <w:jc w:val="left"/>
              <w:rPr>
                <w:rFonts w:ascii="Calibri" w:hAnsi="Calibri" w:cs="Calibri"/>
                <w:b/>
                <w:bCs/>
                <w:color w:val="000000"/>
                <w:sz w:val="24"/>
                <w:szCs w:val="24"/>
              </w:rPr>
            </w:pPr>
            <w:r w:rsidRPr="00AD1296">
              <w:rPr>
                <w:rFonts w:ascii="Calibri" w:hAnsi="Calibri" w:cs="Calibri"/>
                <w:b/>
                <w:bCs/>
                <w:color w:val="000000"/>
                <w:sz w:val="24"/>
                <w:szCs w:val="24"/>
              </w:rPr>
              <w:t>COSTO ATTIVAZIONE INTERO CICLO FATTURA</w:t>
            </w:r>
          </w:p>
        </w:tc>
        <w:tc>
          <w:tcPr>
            <w:tcW w:w="1366" w:type="dxa"/>
            <w:tcBorders>
              <w:top w:val="nil"/>
              <w:left w:val="nil"/>
              <w:bottom w:val="single" w:sz="4" w:space="0" w:color="auto"/>
              <w:right w:val="single" w:sz="4" w:space="0" w:color="auto"/>
            </w:tcBorders>
            <w:shd w:val="clear" w:color="000000" w:fill="D9D9D9"/>
            <w:noWrap/>
            <w:vAlign w:val="bottom"/>
            <w:hideMark/>
          </w:tcPr>
          <w:p w14:paraId="05BB3002" w14:textId="77777777" w:rsidR="00D0299C" w:rsidRPr="00AD1296" w:rsidRDefault="00D0299C" w:rsidP="001E19D6">
            <w:pPr>
              <w:widowControl/>
              <w:adjustRightInd/>
              <w:spacing w:line="240" w:lineRule="auto"/>
              <w:jc w:val="left"/>
              <w:rPr>
                <w:rFonts w:ascii="Calibri" w:hAnsi="Calibri" w:cs="Calibri"/>
                <w:b/>
                <w:bCs/>
                <w:color w:val="000000"/>
                <w:sz w:val="24"/>
                <w:szCs w:val="24"/>
              </w:rPr>
            </w:pPr>
            <w:r w:rsidRPr="00AD1296">
              <w:rPr>
                <w:rFonts w:ascii="Calibri" w:hAnsi="Calibri" w:cs="Calibri"/>
                <w:b/>
                <w:bCs/>
                <w:color w:val="000000"/>
                <w:sz w:val="24"/>
                <w:szCs w:val="24"/>
              </w:rPr>
              <w:t xml:space="preserve"> € 7.300,00 </w:t>
            </w:r>
          </w:p>
        </w:tc>
        <w:tc>
          <w:tcPr>
            <w:tcW w:w="1193" w:type="dxa"/>
            <w:tcBorders>
              <w:top w:val="nil"/>
              <w:left w:val="nil"/>
              <w:bottom w:val="single" w:sz="4" w:space="0" w:color="auto"/>
              <w:right w:val="single" w:sz="4" w:space="0" w:color="auto"/>
            </w:tcBorders>
            <w:shd w:val="clear" w:color="000000" w:fill="D9D9D9"/>
            <w:vAlign w:val="center"/>
            <w:hideMark/>
          </w:tcPr>
          <w:p w14:paraId="792D8255" w14:textId="77777777" w:rsidR="00D0299C" w:rsidRPr="00AD1296" w:rsidRDefault="00D0299C" w:rsidP="001E19D6">
            <w:pPr>
              <w:widowControl/>
              <w:adjustRightInd/>
              <w:spacing w:line="240" w:lineRule="auto"/>
              <w:rPr>
                <w:rFonts w:ascii="Calibri" w:hAnsi="Calibri" w:cs="Calibri"/>
                <w:b/>
                <w:bCs/>
                <w:color w:val="000000"/>
                <w:sz w:val="22"/>
                <w:szCs w:val="22"/>
              </w:rPr>
            </w:pPr>
          </w:p>
        </w:tc>
      </w:tr>
      <w:tr w:rsidR="00D0299C" w:rsidRPr="00AD1296" w14:paraId="52DC043F" w14:textId="77777777" w:rsidTr="001E19D6">
        <w:trPr>
          <w:trHeight w:val="303"/>
        </w:trPr>
        <w:tc>
          <w:tcPr>
            <w:tcW w:w="5989" w:type="dxa"/>
            <w:tcBorders>
              <w:top w:val="nil"/>
              <w:left w:val="single" w:sz="4" w:space="0" w:color="auto"/>
              <w:bottom w:val="single" w:sz="4" w:space="0" w:color="auto"/>
              <w:right w:val="single" w:sz="4" w:space="0" w:color="auto"/>
            </w:tcBorders>
            <w:shd w:val="clear" w:color="auto" w:fill="auto"/>
            <w:vAlign w:val="bottom"/>
            <w:hideMark/>
          </w:tcPr>
          <w:p w14:paraId="7FB4233D"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RIMBORSO FORFETTARIO UNA TANTUM PER ATTIVAZIONE ORDINI E DDT</w:t>
            </w:r>
          </w:p>
        </w:tc>
        <w:tc>
          <w:tcPr>
            <w:tcW w:w="1366" w:type="dxa"/>
            <w:tcBorders>
              <w:top w:val="nil"/>
              <w:left w:val="nil"/>
              <w:bottom w:val="single" w:sz="4" w:space="0" w:color="auto"/>
              <w:right w:val="single" w:sz="4" w:space="0" w:color="auto"/>
            </w:tcBorders>
            <w:shd w:val="clear" w:color="auto" w:fill="auto"/>
            <w:noWrap/>
            <w:vAlign w:val="bottom"/>
            <w:hideMark/>
          </w:tcPr>
          <w:p w14:paraId="3CB8DDB0"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 xml:space="preserve"> € 3.900,00 </w:t>
            </w:r>
          </w:p>
        </w:tc>
        <w:tc>
          <w:tcPr>
            <w:tcW w:w="1193" w:type="dxa"/>
            <w:tcBorders>
              <w:top w:val="nil"/>
              <w:left w:val="nil"/>
              <w:bottom w:val="single" w:sz="4" w:space="0" w:color="auto"/>
              <w:right w:val="single" w:sz="4" w:space="0" w:color="auto"/>
            </w:tcBorders>
            <w:shd w:val="clear" w:color="auto" w:fill="auto"/>
            <w:noWrap/>
            <w:vAlign w:val="bottom"/>
            <w:hideMark/>
          </w:tcPr>
          <w:p w14:paraId="1B1D6C9A" w14:textId="77777777" w:rsidR="00D0299C" w:rsidRPr="00AD1296" w:rsidRDefault="00D0299C" w:rsidP="001E19D6">
            <w:pPr>
              <w:widowControl/>
              <w:adjustRightInd/>
              <w:spacing w:line="240" w:lineRule="auto"/>
              <w:jc w:val="left"/>
              <w:rPr>
                <w:rFonts w:ascii="Calibri" w:hAnsi="Calibri" w:cs="Calibri"/>
                <w:color w:val="000000"/>
                <w:sz w:val="22"/>
                <w:szCs w:val="22"/>
              </w:rPr>
            </w:pPr>
          </w:p>
        </w:tc>
      </w:tr>
      <w:tr w:rsidR="00D0299C" w:rsidRPr="00AD1296" w14:paraId="57BCCEED" w14:textId="77777777" w:rsidTr="001E19D6">
        <w:trPr>
          <w:trHeight w:val="607"/>
        </w:trPr>
        <w:tc>
          <w:tcPr>
            <w:tcW w:w="5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BB67B"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RIMBORSO FORFETTARIO UNA TANTUM PER ATTIVAZIONE INVIO IN CONSERVAZIONE ORDINI e DDT</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39B48578" w14:textId="77777777" w:rsidR="00D0299C" w:rsidRPr="00AD1296" w:rsidRDefault="00D0299C" w:rsidP="001E19D6">
            <w:pPr>
              <w:widowControl/>
              <w:adjustRightInd/>
              <w:spacing w:line="240" w:lineRule="auto"/>
              <w:jc w:val="left"/>
              <w:rPr>
                <w:rFonts w:ascii="Calibri" w:hAnsi="Calibri" w:cs="Calibri"/>
                <w:color w:val="000000"/>
                <w:sz w:val="22"/>
                <w:szCs w:val="22"/>
              </w:rPr>
            </w:pPr>
            <w:r w:rsidRPr="00AD1296">
              <w:rPr>
                <w:rFonts w:ascii="Calibri" w:hAnsi="Calibri" w:cs="Calibri"/>
                <w:color w:val="000000"/>
                <w:sz w:val="22"/>
                <w:szCs w:val="22"/>
              </w:rPr>
              <w:t xml:space="preserve"> € 1.000,00 </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5D711EF0" w14:textId="77777777" w:rsidR="00D0299C" w:rsidRPr="00AD1296" w:rsidRDefault="00D0299C" w:rsidP="001E19D6">
            <w:pPr>
              <w:widowControl/>
              <w:adjustRightInd/>
              <w:spacing w:line="240" w:lineRule="auto"/>
              <w:jc w:val="left"/>
              <w:rPr>
                <w:rFonts w:ascii="Calibri" w:hAnsi="Calibri" w:cs="Calibri"/>
                <w:color w:val="000000"/>
                <w:sz w:val="22"/>
                <w:szCs w:val="22"/>
              </w:rPr>
            </w:pPr>
          </w:p>
        </w:tc>
      </w:tr>
    </w:tbl>
    <w:p w14:paraId="015B4FF7" w14:textId="77777777" w:rsidR="00D0299C" w:rsidRDefault="00D0299C" w:rsidP="00D0299C">
      <w:pPr>
        <w:pStyle w:val="Paragrafoelenco"/>
        <w:widowControl/>
        <w:suppressAutoHyphens/>
        <w:adjustRightInd/>
        <w:spacing w:line="360" w:lineRule="auto"/>
        <w:rPr>
          <w:rFonts w:ascii="Verdana" w:hAnsi="Verdana" w:cs="Tahoma"/>
          <w:color w:val="000000"/>
          <w:kern w:val="2"/>
          <w:lang w:eastAsia="ar-SA"/>
        </w:rPr>
      </w:pPr>
    </w:p>
    <w:p w14:paraId="27175F7E" w14:textId="77777777" w:rsidR="00D0299C" w:rsidRDefault="00D0299C" w:rsidP="00D0299C">
      <w:pPr>
        <w:widowControl/>
        <w:suppressAutoHyphens/>
        <w:adjustRightInd/>
        <w:spacing w:line="360" w:lineRule="auto"/>
        <w:ind w:left="709"/>
        <w:rPr>
          <w:rFonts w:ascii="Verdana" w:hAnsi="Verdana" w:cs="Tahoma"/>
          <w:color w:val="000000"/>
          <w:kern w:val="2"/>
          <w:lang w:eastAsia="ar-SA"/>
        </w:rPr>
      </w:pPr>
      <w:r>
        <w:rPr>
          <w:rFonts w:ascii="Verdana" w:hAnsi="Verdana" w:cs="Tahoma"/>
          <w:color w:val="000000"/>
          <w:kern w:val="2"/>
          <w:lang w:eastAsia="ar-SA"/>
        </w:rPr>
        <w:t xml:space="preserve">Tale importo deve essere corrisposto alla data di effettiva attivazione del servizio (avvenuto collaudo in ambiente di produzione). </w:t>
      </w:r>
    </w:p>
    <w:p w14:paraId="7DD5F69F" w14:textId="77777777" w:rsidR="00D0299C" w:rsidRDefault="00D0299C" w:rsidP="00D0299C">
      <w:pPr>
        <w:pStyle w:val="Paragrafoelenco"/>
        <w:widowControl/>
        <w:numPr>
          <w:ilvl w:val="0"/>
          <w:numId w:val="20"/>
        </w:numPr>
        <w:suppressAutoHyphens/>
        <w:adjustRightInd/>
        <w:spacing w:line="360" w:lineRule="auto"/>
        <w:rPr>
          <w:rFonts w:ascii="Verdana" w:hAnsi="Verdana" w:cs="Tahoma"/>
          <w:kern w:val="2"/>
          <w:lang w:eastAsia="ar-SA"/>
        </w:rPr>
      </w:pPr>
      <w:r>
        <w:rPr>
          <w:rFonts w:ascii="Verdana" w:hAnsi="Verdana" w:cs="Tahoma"/>
          <w:kern w:val="2"/>
          <w:lang w:eastAsia="ar-SA"/>
        </w:rPr>
        <w:t xml:space="preserve">Oltre al rimborso forfettario una tantum di cui al comma 1, l’Ente si impegna altresì a corrispondere ad Intercent-ER il rimborso dei costi annui di gestione pari a </w:t>
      </w:r>
      <w:proofErr w:type="gramStart"/>
      <w:r>
        <w:rPr>
          <w:rFonts w:ascii="Verdana" w:hAnsi="Verdana" w:cs="Tahoma"/>
          <w:kern w:val="2"/>
          <w:lang w:eastAsia="ar-SA"/>
        </w:rPr>
        <w:t>Euro</w:t>
      </w:r>
      <w:proofErr w:type="gramEnd"/>
      <w:r>
        <w:rPr>
          <w:rFonts w:ascii="Verdana" w:hAnsi="Verdana" w:cs="Tahoma"/>
          <w:kern w:val="2"/>
          <w:lang w:eastAsia="ar-SA"/>
        </w:rPr>
        <w:t xml:space="preserve"> …………… (IVA esclusa), per le seguenti tipologie di servizi, così come indicati dalla determinazione n. 4 del 16/01/2018:</w:t>
      </w:r>
    </w:p>
    <w:p w14:paraId="146325C1" w14:textId="77777777" w:rsidR="00D0299C" w:rsidRDefault="00D0299C" w:rsidP="00D0299C">
      <w:pPr>
        <w:pStyle w:val="Paragrafoelenco"/>
        <w:widowControl/>
        <w:suppressAutoHyphens/>
        <w:adjustRightInd/>
        <w:spacing w:line="360" w:lineRule="auto"/>
        <w:rPr>
          <w:rFonts w:ascii="Verdana" w:hAnsi="Verdana" w:cs="Tahoma"/>
          <w:color w:val="000000"/>
          <w:kern w:val="2"/>
          <w:highlight w:val="yellow"/>
          <w:lang w:eastAsia="ar-SA"/>
        </w:rPr>
      </w:pPr>
    </w:p>
    <w:tbl>
      <w:tblPr>
        <w:tblW w:w="8517" w:type="dxa"/>
        <w:tblCellMar>
          <w:left w:w="70" w:type="dxa"/>
          <w:right w:w="70" w:type="dxa"/>
        </w:tblCellMar>
        <w:tblLook w:val="04A0" w:firstRow="1" w:lastRow="0" w:firstColumn="1" w:lastColumn="0" w:noHBand="0" w:noVBand="1"/>
      </w:tblPr>
      <w:tblGrid>
        <w:gridCol w:w="5970"/>
        <w:gridCol w:w="1361"/>
        <w:gridCol w:w="1186"/>
      </w:tblGrid>
      <w:tr w:rsidR="00D0299C" w:rsidRPr="0086593B" w14:paraId="29AAE0CC" w14:textId="77777777" w:rsidTr="00D0299C">
        <w:trPr>
          <w:trHeight w:val="2067"/>
          <w:tblHeader/>
        </w:trPr>
        <w:tc>
          <w:tcPr>
            <w:tcW w:w="5970" w:type="dxa"/>
            <w:tcBorders>
              <w:top w:val="single" w:sz="4" w:space="0" w:color="auto"/>
              <w:left w:val="single" w:sz="4" w:space="0" w:color="auto"/>
              <w:bottom w:val="single" w:sz="4" w:space="0" w:color="auto"/>
              <w:right w:val="nil"/>
            </w:tcBorders>
            <w:shd w:val="clear" w:color="000000" w:fill="D9D9D9"/>
            <w:noWrap/>
            <w:vAlign w:val="center"/>
            <w:hideMark/>
          </w:tcPr>
          <w:p w14:paraId="3AAC177C" w14:textId="77777777" w:rsidR="00D0299C" w:rsidRPr="0086593B" w:rsidRDefault="00D0299C" w:rsidP="001E19D6">
            <w:pPr>
              <w:widowControl/>
              <w:adjustRightInd/>
              <w:spacing w:line="240" w:lineRule="auto"/>
              <w:jc w:val="center"/>
              <w:rPr>
                <w:rFonts w:ascii="Calibri" w:hAnsi="Calibri" w:cs="Calibri"/>
                <w:b/>
                <w:bCs/>
                <w:color w:val="000000"/>
                <w:sz w:val="22"/>
                <w:szCs w:val="22"/>
              </w:rPr>
            </w:pPr>
            <w:r w:rsidRPr="0086593B">
              <w:rPr>
                <w:rFonts w:ascii="Calibri" w:hAnsi="Calibri" w:cs="Calibri"/>
                <w:b/>
                <w:bCs/>
                <w:color w:val="000000"/>
                <w:sz w:val="22"/>
                <w:szCs w:val="22"/>
              </w:rPr>
              <w:t>RIEPILOGO RIMBORSO COSTI ANNUI</w:t>
            </w:r>
          </w:p>
        </w:tc>
        <w:tc>
          <w:tcPr>
            <w:tcW w:w="1361" w:type="dxa"/>
            <w:tcBorders>
              <w:top w:val="single" w:sz="4" w:space="0" w:color="auto"/>
              <w:left w:val="nil"/>
              <w:bottom w:val="single" w:sz="4" w:space="0" w:color="auto"/>
              <w:right w:val="single" w:sz="4" w:space="0" w:color="auto"/>
            </w:tcBorders>
            <w:shd w:val="clear" w:color="000000" w:fill="D9D9D9"/>
            <w:noWrap/>
            <w:vAlign w:val="center"/>
            <w:hideMark/>
          </w:tcPr>
          <w:p w14:paraId="770DB6A0" w14:textId="77777777" w:rsidR="00D0299C" w:rsidRPr="0086593B" w:rsidRDefault="00D0299C" w:rsidP="001E19D6">
            <w:pPr>
              <w:widowControl/>
              <w:adjustRightInd/>
              <w:spacing w:line="240" w:lineRule="auto"/>
              <w:jc w:val="center"/>
              <w:rPr>
                <w:rFonts w:ascii="Calibri" w:hAnsi="Calibri" w:cs="Calibri"/>
                <w:b/>
                <w:bCs/>
                <w:color w:val="000000"/>
                <w:sz w:val="22"/>
                <w:szCs w:val="22"/>
              </w:rPr>
            </w:pPr>
          </w:p>
        </w:tc>
        <w:tc>
          <w:tcPr>
            <w:tcW w:w="1186" w:type="dxa"/>
            <w:tcBorders>
              <w:top w:val="single" w:sz="4" w:space="0" w:color="auto"/>
              <w:left w:val="nil"/>
              <w:bottom w:val="single" w:sz="4" w:space="0" w:color="auto"/>
              <w:right w:val="single" w:sz="4" w:space="0" w:color="auto"/>
            </w:tcBorders>
            <w:shd w:val="clear" w:color="000000" w:fill="D9D9D9"/>
            <w:vAlign w:val="center"/>
            <w:hideMark/>
          </w:tcPr>
          <w:p w14:paraId="64241C5F" w14:textId="77777777" w:rsidR="00D0299C" w:rsidRDefault="00D0299C" w:rsidP="001E19D6">
            <w:pPr>
              <w:widowControl/>
              <w:adjustRightInd/>
              <w:spacing w:line="240" w:lineRule="auto"/>
              <w:jc w:val="center"/>
              <w:rPr>
                <w:rFonts w:ascii="Calibri" w:hAnsi="Calibri" w:cs="Calibri"/>
                <w:b/>
                <w:bCs/>
                <w:color w:val="000000"/>
                <w:sz w:val="22"/>
                <w:szCs w:val="22"/>
              </w:rPr>
            </w:pPr>
            <w:r w:rsidRPr="0086593B">
              <w:rPr>
                <w:rFonts w:ascii="Calibri" w:hAnsi="Calibri" w:cs="Calibri"/>
                <w:b/>
                <w:bCs/>
                <w:color w:val="000000"/>
                <w:sz w:val="22"/>
                <w:szCs w:val="22"/>
              </w:rPr>
              <w:t xml:space="preserve">INDICARE CON UNA "X" </w:t>
            </w:r>
          </w:p>
          <w:p w14:paraId="58615947" w14:textId="77777777" w:rsidR="00D0299C" w:rsidRPr="0086593B" w:rsidRDefault="00D0299C" w:rsidP="001E19D6">
            <w:pPr>
              <w:widowControl/>
              <w:adjustRightInd/>
              <w:spacing w:line="240" w:lineRule="auto"/>
              <w:jc w:val="center"/>
              <w:rPr>
                <w:rFonts w:ascii="Calibri" w:hAnsi="Calibri" w:cs="Calibri"/>
                <w:b/>
                <w:bCs/>
                <w:color w:val="000000"/>
                <w:sz w:val="22"/>
                <w:szCs w:val="22"/>
              </w:rPr>
            </w:pPr>
            <w:r w:rsidRPr="0086593B">
              <w:rPr>
                <w:rFonts w:ascii="Calibri" w:hAnsi="Calibri" w:cs="Calibri"/>
                <w:b/>
                <w:bCs/>
                <w:color w:val="000000"/>
                <w:sz w:val="22"/>
                <w:szCs w:val="22"/>
              </w:rPr>
              <w:t>LA FASCIA DI INTERESSE</w:t>
            </w:r>
          </w:p>
        </w:tc>
      </w:tr>
      <w:tr w:rsidR="00D0299C" w:rsidRPr="0086593B" w14:paraId="198873B3" w14:textId="77777777" w:rsidTr="001E19D6">
        <w:trPr>
          <w:trHeight w:val="1033"/>
        </w:trPr>
        <w:tc>
          <w:tcPr>
            <w:tcW w:w="5970" w:type="dxa"/>
            <w:tcBorders>
              <w:top w:val="nil"/>
              <w:left w:val="single" w:sz="4" w:space="0" w:color="auto"/>
              <w:bottom w:val="single" w:sz="4" w:space="0" w:color="auto"/>
              <w:right w:val="single" w:sz="4" w:space="0" w:color="auto"/>
            </w:tcBorders>
            <w:shd w:val="clear" w:color="000000" w:fill="FFFFFF"/>
            <w:vAlign w:val="bottom"/>
            <w:hideMark/>
          </w:tcPr>
          <w:p w14:paraId="1B7EAA15" w14:textId="77777777" w:rsidR="00D0299C" w:rsidRPr="0086593B" w:rsidRDefault="00D0299C" w:rsidP="001E19D6">
            <w:pPr>
              <w:widowControl/>
              <w:adjustRightInd/>
              <w:spacing w:line="240" w:lineRule="auto"/>
              <w:jc w:val="left"/>
              <w:rPr>
                <w:rFonts w:ascii="Calibri" w:hAnsi="Calibri" w:cs="Calibri"/>
                <w:color w:val="000000"/>
                <w:sz w:val="22"/>
                <w:szCs w:val="22"/>
              </w:rPr>
            </w:pPr>
            <w:r w:rsidRPr="0086593B">
              <w:rPr>
                <w:rFonts w:ascii="Calibri" w:hAnsi="Calibri" w:cs="Calibri"/>
                <w:color w:val="000000"/>
                <w:sz w:val="22"/>
                <w:szCs w:val="22"/>
              </w:rPr>
              <w:t>RIMBORSO PER COSTI DI GESTIONE ANNUI RELATIVI AD AMMINISTRAZIONE/ENTE FINO A 15.000 DOCUMENTI ANNO</w:t>
            </w:r>
          </w:p>
        </w:tc>
        <w:tc>
          <w:tcPr>
            <w:tcW w:w="1361" w:type="dxa"/>
            <w:tcBorders>
              <w:top w:val="nil"/>
              <w:left w:val="nil"/>
              <w:bottom w:val="single" w:sz="4" w:space="0" w:color="auto"/>
              <w:right w:val="single" w:sz="4" w:space="0" w:color="auto"/>
            </w:tcBorders>
            <w:shd w:val="clear" w:color="auto" w:fill="auto"/>
            <w:noWrap/>
            <w:vAlign w:val="bottom"/>
            <w:hideMark/>
          </w:tcPr>
          <w:p w14:paraId="654FB567" w14:textId="77777777" w:rsidR="00D0299C" w:rsidRPr="0086593B" w:rsidRDefault="00D0299C" w:rsidP="001E19D6">
            <w:pPr>
              <w:widowControl/>
              <w:adjustRightInd/>
              <w:spacing w:line="240" w:lineRule="auto"/>
              <w:jc w:val="left"/>
              <w:rPr>
                <w:rFonts w:ascii="Calibri" w:hAnsi="Calibri" w:cs="Calibri"/>
                <w:color w:val="000000"/>
                <w:sz w:val="22"/>
                <w:szCs w:val="22"/>
              </w:rPr>
            </w:pPr>
            <w:r w:rsidRPr="0086593B">
              <w:rPr>
                <w:rFonts w:ascii="Calibri" w:hAnsi="Calibri" w:cs="Calibri"/>
                <w:color w:val="000000"/>
                <w:sz w:val="22"/>
                <w:szCs w:val="22"/>
              </w:rPr>
              <w:t xml:space="preserve"> € 1.800,00 </w:t>
            </w:r>
          </w:p>
        </w:tc>
        <w:tc>
          <w:tcPr>
            <w:tcW w:w="1186" w:type="dxa"/>
            <w:tcBorders>
              <w:top w:val="nil"/>
              <w:left w:val="nil"/>
              <w:bottom w:val="single" w:sz="4" w:space="0" w:color="auto"/>
              <w:right w:val="single" w:sz="4" w:space="0" w:color="auto"/>
            </w:tcBorders>
            <w:shd w:val="clear" w:color="auto" w:fill="auto"/>
            <w:noWrap/>
            <w:vAlign w:val="bottom"/>
            <w:hideMark/>
          </w:tcPr>
          <w:p w14:paraId="3DEF1F16" w14:textId="77777777" w:rsidR="00D0299C" w:rsidRPr="0086593B" w:rsidRDefault="00D0299C" w:rsidP="001E19D6">
            <w:pPr>
              <w:widowControl/>
              <w:adjustRightInd/>
              <w:spacing w:line="240" w:lineRule="auto"/>
              <w:jc w:val="left"/>
              <w:rPr>
                <w:rFonts w:ascii="Calibri" w:hAnsi="Calibri" w:cs="Calibri"/>
                <w:color w:val="000000"/>
                <w:sz w:val="22"/>
                <w:szCs w:val="22"/>
              </w:rPr>
            </w:pPr>
          </w:p>
        </w:tc>
      </w:tr>
      <w:tr w:rsidR="00D0299C" w:rsidRPr="0086593B" w14:paraId="1919942D" w14:textId="77777777" w:rsidTr="001E19D6">
        <w:trPr>
          <w:trHeight w:val="1033"/>
        </w:trPr>
        <w:tc>
          <w:tcPr>
            <w:tcW w:w="5970" w:type="dxa"/>
            <w:tcBorders>
              <w:top w:val="nil"/>
              <w:left w:val="single" w:sz="4" w:space="0" w:color="auto"/>
              <w:bottom w:val="single" w:sz="4" w:space="0" w:color="auto"/>
              <w:right w:val="single" w:sz="4" w:space="0" w:color="auto"/>
            </w:tcBorders>
            <w:shd w:val="clear" w:color="000000" w:fill="FFFFFF"/>
            <w:vAlign w:val="bottom"/>
            <w:hideMark/>
          </w:tcPr>
          <w:p w14:paraId="22CB524D" w14:textId="77777777" w:rsidR="00D0299C" w:rsidRPr="0086593B" w:rsidRDefault="00D0299C" w:rsidP="001E19D6">
            <w:pPr>
              <w:widowControl/>
              <w:adjustRightInd/>
              <w:spacing w:line="240" w:lineRule="auto"/>
              <w:jc w:val="left"/>
              <w:rPr>
                <w:rFonts w:ascii="Calibri" w:hAnsi="Calibri" w:cs="Calibri"/>
                <w:color w:val="000000"/>
                <w:sz w:val="22"/>
                <w:szCs w:val="22"/>
              </w:rPr>
            </w:pPr>
            <w:r w:rsidRPr="0086593B">
              <w:rPr>
                <w:rFonts w:ascii="Calibri" w:hAnsi="Calibri" w:cs="Calibri"/>
                <w:color w:val="000000"/>
                <w:sz w:val="22"/>
                <w:szCs w:val="22"/>
              </w:rPr>
              <w:lastRenderedPageBreak/>
              <w:t xml:space="preserve">RIMBORSO PER COSTI DI GESTIONE ANNUI RELATIVI AD AMMINISTRAZIONE/ENTE TRA 15.000 E 25.000 DOCUMENTI ANNO </w:t>
            </w:r>
          </w:p>
        </w:tc>
        <w:tc>
          <w:tcPr>
            <w:tcW w:w="1361" w:type="dxa"/>
            <w:tcBorders>
              <w:top w:val="nil"/>
              <w:left w:val="nil"/>
              <w:bottom w:val="single" w:sz="4" w:space="0" w:color="auto"/>
              <w:right w:val="single" w:sz="4" w:space="0" w:color="auto"/>
            </w:tcBorders>
            <w:shd w:val="clear" w:color="auto" w:fill="auto"/>
            <w:noWrap/>
            <w:vAlign w:val="bottom"/>
            <w:hideMark/>
          </w:tcPr>
          <w:p w14:paraId="6D211741" w14:textId="77777777" w:rsidR="00D0299C" w:rsidRPr="0086593B" w:rsidRDefault="00D0299C" w:rsidP="001E19D6">
            <w:pPr>
              <w:widowControl/>
              <w:adjustRightInd/>
              <w:spacing w:line="240" w:lineRule="auto"/>
              <w:jc w:val="left"/>
              <w:rPr>
                <w:rFonts w:ascii="Calibri" w:hAnsi="Calibri" w:cs="Calibri"/>
                <w:color w:val="000000"/>
                <w:sz w:val="22"/>
                <w:szCs w:val="22"/>
              </w:rPr>
            </w:pPr>
            <w:r w:rsidRPr="0086593B">
              <w:rPr>
                <w:rFonts w:ascii="Calibri" w:hAnsi="Calibri" w:cs="Calibri"/>
                <w:color w:val="000000"/>
                <w:sz w:val="22"/>
                <w:szCs w:val="22"/>
              </w:rPr>
              <w:t xml:space="preserve"> € 3.000,00 </w:t>
            </w:r>
          </w:p>
        </w:tc>
        <w:tc>
          <w:tcPr>
            <w:tcW w:w="1186" w:type="dxa"/>
            <w:tcBorders>
              <w:top w:val="nil"/>
              <w:left w:val="nil"/>
              <w:bottom w:val="single" w:sz="4" w:space="0" w:color="auto"/>
              <w:right w:val="single" w:sz="4" w:space="0" w:color="auto"/>
            </w:tcBorders>
            <w:shd w:val="clear" w:color="auto" w:fill="auto"/>
            <w:noWrap/>
            <w:vAlign w:val="bottom"/>
            <w:hideMark/>
          </w:tcPr>
          <w:p w14:paraId="29861D2A" w14:textId="77777777" w:rsidR="00D0299C" w:rsidRPr="0086593B" w:rsidRDefault="00D0299C" w:rsidP="001E19D6">
            <w:pPr>
              <w:widowControl/>
              <w:adjustRightInd/>
              <w:spacing w:line="240" w:lineRule="auto"/>
              <w:jc w:val="left"/>
              <w:rPr>
                <w:rFonts w:ascii="Calibri" w:hAnsi="Calibri" w:cs="Calibri"/>
                <w:color w:val="000000"/>
                <w:sz w:val="22"/>
                <w:szCs w:val="22"/>
              </w:rPr>
            </w:pPr>
          </w:p>
        </w:tc>
      </w:tr>
      <w:tr w:rsidR="00D0299C" w:rsidRPr="0086593B" w14:paraId="25946A70" w14:textId="77777777" w:rsidTr="001E19D6">
        <w:trPr>
          <w:trHeight w:val="1033"/>
        </w:trPr>
        <w:tc>
          <w:tcPr>
            <w:tcW w:w="5970" w:type="dxa"/>
            <w:tcBorders>
              <w:top w:val="nil"/>
              <w:left w:val="single" w:sz="4" w:space="0" w:color="auto"/>
              <w:bottom w:val="single" w:sz="4" w:space="0" w:color="auto"/>
              <w:right w:val="single" w:sz="4" w:space="0" w:color="auto"/>
            </w:tcBorders>
            <w:shd w:val="clear" w:color="000000" w:fill="FFFFFF"/>
            <w:vAlign w:val="bottom"/>
            <w:hideMark/>
          </w:tcPr>
          <w:p w14:paraId="05563381" w14:textId="77777777" w:rsidR="00D0299C" w:rsidRPr="0086593B" w:rsidRDefault="00D0299C" w:rsidP="001E19D6">
            <w:pPr>
              <w:widowControl/>
              <w:adjustRightInd/>
              <w:spacing w:line="240" w:lineRule="auto"/>
              <w:jc w:val="left"/>
              <w:rPr>
                <w:rFonts w:ascii="Calibri" w:hAnsi="Calibri" w:cs="Calibri"/>
                <w:color w:val="000000"/>
                <w:sz w:val="22"/>
                <w:szCs w:val="22"/>
              </w:rPr>
            </w:pPr>
            <w:r w:rsidRPr="0086593B">
              <w:rPr>
                <w:rFonts w:ascii="Calibri" w:hAnsi="Calibri" w:cs="Calibri"/>
                <w:color w:val="000000"/>
                <w:sz w:val="22"/>
                <w:szCs w:val="22"/>
              </w:rPr>
              <w:t xml:space="preserve">RIMBORSO PER COSTI DI GESTIONE ANNUI RELATIVI AD AMMINISTRAZIONE/ENTE DA 25.000 A 50.000 DOCUMENTI ANNO </w:t>
            </w:r>
          </w:p>
        </w:tc>
        <w:tc>
          <w:tcPr>
            <w:tcW w:w="1361" w:type="dxa"/>
            <w:tcBorders>
              <w:top w:val="nil"/>
              <w:left w:val="nil"/>
              <w:bottom w:val="single" w:sz="4" w:space="0" w:color="auto"/>
              <w:right w:val="single" w:sz="4" w:space="0" w:color="auto"/>
            </w:tcBorders>
            <w:shd w:val="clear" w:color="auto" w:fill="auto"/>
            <w:noWrap/>
            <w:vAlign w:val="bottom"/>
            <w:hideMark/>
          </w:tcPr>
          <w:p w14:paraId="57029555" w14:textId="77777777" w:rsidR="00D0299C" w:rsidRPr="0086593B" w:rsidRDefault="00D0299C" w:rsidP="001E19D6">
            <w:pPr>
              <w:widowControl/>
              <w:adjustRightInd/>
              <w:spacing w:line="240" w:lineRule="auto"/>
              <w:jc w:val="left"/>
              <w:rPr>
                <w:rFonts w:ascii="Calibri" w:hAnsi="Calibri" w:cs="Calibri"/>
                <w:color w:val="000000"/>
                <w:sz w:val="22"/>
                <w:szCs w:val="22"/>
              </w:rPr>
            </w:pPr>
            <w:r w:rsidRPr="0086593B">
              <w:rPr>
                <w:rFonts w:ascii="Calibri" w:hAnsi="Calibri" w:cs="Calibri"/>
                <w:color w:val="000000"/>
                <w:sz w:val="22"/>
                <w:szCs w:val="22"/>
              </w:rPr>
              <w:t xml:space="preserve"> € 6.000,00 </w:t>
            </w:r>
          </w:p>
        </w:tc>
        <w:tc>
          <w:tcPr>
            <w:tcW w:w="1186" w:type="dxa"/>
            <w:tcBorders>
              <w:top w:val="nil"/>
              <w:left w:val="nil"/>
              <w:bottom w:val="single" w:sz="4" w:space="0" w:color="auto"/>
              <w:right w:val="single" w:sz="4" w:space="0" w:color="auto"/>
            </w:tcBorders>
            <w:shd w:val="clear" w:color="auto" w:fill="auto"/>
            <w:noWrap/>
            <w:vAlign w:val="bottom"/>
            <w:hideMark/>
          </w:tcPr>
          <w:p w14:paraId="1927C3EF" w14:textId="77777777" w:rsidR="00D0299C" w:rsidRPr="0086593B" w:rsidRDefault="00D0299C" w:rsidP="001E19D6">
            <w:pPr>
              <w:widowControl/>
              <w:adjustRightInd/>
              <w:spacing w:line="240" w:lineRule="auto"/>
              <w:jc w:val="left"/>
              <w:rPr>
                <w:rFonts w:ascii="Calibri" w:hAnsi="Calibri" w:cs="Calibri"/>
                <w:color w:val="000000"/>
                <w:sz w:val="22"/>
                <w:szCs w:val="22"/>
              </w:rPr>
            </w:pPr>
          </w:p>
        </w:tc>
      </w:tr>
      <w:tr w:rsidR="00D0299C" w:rsidRPr="0086593B" w14:paraId="0238C41B" w14:textId="77777777" w:rsidTr="001E19D6">
        <w:trPr>
          <w:trHeight w:val="1033"/>
        </w:trPr>
        <w:tc>
          <w:tcPr>
            <w:tcW w:w="5970" w:type="dxa"/>
            <w:tcBorders>
              <w:top w:val="nil"/>
              <w:left w:val="single" w:sz="4" w:space="0" w:color="auto"/>
              <w:bottom w:val="single" w:sz="4" w:space="0" w:color="auto"/>
              <w:right w:val="single" w:sz="4" w:space="0" w:color="auto"/>
            </w:tcBorders>
            <w:shd w:val="clear" w:color="000000" w:fill="FFFFFF"/>
            <w:vAlign w:val="bottom"/>
            <w:hideMark/>
          </w:tcPr>
          <w:p w14:paraId="49C41085" w14:textId="77777777" w:rsidR="00D0299C" w:rsidRPr="0086593B" w:rsidRDefault="00D0299C" w:rsidP="001E19D6">
            <w:pPr>
              <w:widowControl/>
              <w:adjustRightInd/>
              <w:spacing w:line="240" w:lineRule="auto"/>
              <w:jc w:val="left"/>
              <w:rPr>
                <w:rFonts w:ascii="Calibri" w:hAnsi="Calibri" w:cs="Calibri"/>
                <w:color w:val="000000"/>
                <w:sz w:val="22"/>
                <w:szCs w:val="22"/>
              </w:rPr>
            </w:pPr>
            <w:r w:rsidRPr="0086593B">
              <w:rPr>
                <w:rFonts w:ascii="Calibri" w:hAnsi="Calibri" w:cs="Calibri"/>
                <w:color w:val="000000"/>
                <w:sz w:val="22"/>
                <w:szCs w:val="22"/>
              </w:rPr>
              <w:t xml:space="preserve">RIMBORSO PER COSTI DI GESTIONE ANNUI RELATIVI AD AMMINISTRAZIONE/ENTE DA FINO A 100.000 DOCUMENTI ANNO </w:t>
            </w:r>
          </w:p>
        </w:tc>
        <w:tc>
          <w:tcPr>
            <w:tcW w:w="1361" w:type="dxa"/>
            <w:tcBorders>
              <w:top w:val="nil"/>
              <w:left w:val="nil"/>
              <w:bottom w:val="single" w:sz="4" w:space="0" w:color="auto"/>
              <w:right w:val="single" w:sz="4" w:space="0" w:color="auto"/>
            </w:tcBorders>
            <w:shd w:val="clear" w:color="auto" w:fill="auto"/>
            <w:noWrap/>
            <w:vAlign w:val="bottom"/>
            <w:hideMark/>
          </w:tcPr>
          <w:p w14:paraId="01BAA340" w14:textId="77777777" w:rsidR="00D0299C" w:rsidRPr="0086593B" w:rsidRDefault="00D0299C" w:rsidP="001E19D6">
            <w:pPr>
              <w:widowControl/>
              <w:adjustRightInd/>
              <w:spacing w:line="240" w:lineRule="auto"/>
              <w:jc w:val="left"/>
              <w:rPr>
                <w:rFonts w:ascii="Calibri" w:hAnsi="Calibri" w:cs="Calibri"/>
                <w:color w:val="000000"/>
                <w:sz w:val="22"/>
                <w:szCs w:val="22"/>
              </w:rPr>
            </w:pPr>
            <w:r w:rsidRPr="0086593B">
              <w:rPr>
                <w:rFonts w:ascii="Calibri" w:hAnsi="Calibri" w:cs="Calibri"/>
                <w:color w:val="000000"/>
                <w:sz w:val="22"/>
                <w:szCs w:val="22"/>
              </w:rPr>
              <w:t xml:space="preserve"> € 10.000,00 </w:t>
            </w:r>
          </w:p>
        </w:tc>
        <w:tc>
          <w:tcPr>
            <w:tcW w:w="1186" w:type="dxa"/>
            <w:tcBorders>
              <w:top w:val="nil"/>
              <w:left w:val="nil"/>
              <w:bottom w:val="single" w:sz="4" w:space="0" w:color="auto"/>
              <w:right w:val="single" w:sz="4" w:space="0" w:color="auto"/>
            </w:tcBorders>
            <w:shd w:val="clear" w:color="auto" w:fill="auto"/>
            <w:noWrap/>
            <w:vAlign w:val="bottom"/>
            <w:hideMark/>
          </w:tcPr>
          <w:p w14:paraId="7015750F" w14:textId="77777777" w:rsidR="00D0299C" w:rsidRPr="0086593B" w:rsidRDefault="00D0299C" w:rsidP="001E19D6">
            <w:pPr>
              <w:widowControl/>
              <w:adjustRightInd/>
              <w:spacing w:line="240" w:lineRule="auto"/>
              <w:jc w:val="left"/>
              <w:rPr>
                <w:rFonts w:ascii="Calibri" w:hAnsi="Calibri" w:cs="Calibri"/>
                <w:color w:val="000000"/>
                <w:sz w:val="22"/>
                <w:szCs w:val="22"/>
              </w:rPr>
            </w:pPr>
          </w:p>
        </w:tc>
      </w:tr>
    </w:tbl>
    <w:p w14:paraId="56C7E965" w14:textId="77777777" w:rsidR="00D0299C" w:rsidRDefault="00D0299C" w:rsidP="00D0299C">
      <w:pPr>
        <w:pStyle w:val="Paragrafoelenco"/>
        <w:widowControl/>
        <w:suppressAutoHyphens/>
        <w:adjustRightInd/>
        <w:spacing w:line="360" w:lineRule="auto"/>
        <w:rPr>
          <w:rFonts w:ascii="Verdana" w:hAnsi="Verdana" w:cs="Tahoma"/>
          <w:strike/>
          <w:kern w:val="2"/>
          <w:lang w:eastAsia="ar-SA"/>
        </w:rPr>
      </w:pPr>
    </w:p>
    <w:p w14:paraId="4E519A44" w14:textId="77777777" w:rsidR="00D0299C" w:rsidRDefault="00D0299C" w:rsidP="00D0299C">
      <w:pPr>
        <w:widowControl/>
        <w:suppressAutoHyphens/>
        <w:adjustRightInd/>
        <w:spacing w:line="360" w:lineRule="auto"/>
        <w:ind w:left="709"/>
        <w:rPr>
          <w:rFonts w:ascii="Verdana" w:hAnsi="Verdana" w:cs="Tahoma"/>
          <w:color w:val="000000"/>
          <w:kern w:val="2"/>
          <w:lang w:eastAsia="ar-SA"/>
        </w:rPr>
      </w:pPr>
      <w:r>
        <w:rPr>
          <w:rFonts w:ascii="Verdana" w:hAnsi="Verdana" w:cs="Tahoma"/>
          <w:color w:val="000000"/>
          <w:kern w:val="2"/>
          <w:lang w:eastAsia="ar-SA"/>
        </w:rPr>
        <w:t xml:space="preserve">Tale importo deve essere corrisposto alla data del 31 dicembre di ogni anno decorrente dall’anno di attivazione, in proporzione ai mesi di fruizione; </w:t>
      </w:r>
    </w:p>
    <w:p w14:paraId="7F6A218E" w14:textId="77777777" w:rsidR="00D0299C" w:rsidRPr="0097385E" w:rsidRDefault="00D0299C" w:rsidP="00D0299C">
      <w:pPr>
        <w:widowControl/>
        <w:numPr>
          <w:ilvl w:val="0"/>
          <w:numId w:val="19"/>
        </w:numPr>
        <w:suppressAutoHyphens/>
        <w:adjustRightInd/>
        <w:spacing w:line="360" w:lineRule="auto"/>
        <w:rPr>
          <w:rFonts w:ascii="Verdana" w:hAnsi="Verdana" w:cs="Tahoma"/>
          <w:color w:val="000000"/>
          <w:kern w:val="1"/>
          <w:lang w:eastAsia="ar-SA"/>
        </w:rPr>
      </w:pPr>
      <w:r w:rsidRPr="0097385E">
        <w:rPr>
          <w:rFonts w:ascii="Verdana" w:hAnsi="Verdana" w:cs="Tahoma"/>
          <w:kern w:val="1"/>
          <w:lang w:eastAsia="ar-SA"/>
        </w:rPr>
        <w:t>L’importo annuale previsto a titolo di rimborso ai sensi del comma precedente, con cadenza annuale, è soggetto a revisione, a partire dal secondo anno di vigenza del presente Accordo, su richiesta di Intercent-ER.</w:t>
      </w:r>
    </w:p>
    <w:p w14:paraId="0F897A57" w14:textId="77777777" w:rsidR="00D0299C" w:rsidRDefault="00D0299C" w:rsidP="00D0299C">
      <w:pPr>
        <w:widowControl/>
        <w:numPr>
          <w:ilvl w:val="0"/>
          <w:numId w:val="20"/>
        </w:numPr>
        <w:suppressAutoHyphens/>
        <w:adjustRightInd/>
        <w:spacing w:line="360" w:lineRule="auto"/>
        <w:rPr>
          <w:rFonts w:ascii="Verdana" w:hAnsi="Verdana" w:cs="Tahoma"/>
          <w:kern w:val="2"/>
          <w:lang w:eastAsia="ar-SA"/>
        </w:rPr>
      </w:pPr>
      <w:r>
        <w:rPr>
          <w:rFonts w:ascii="Verdana" w:hAnsi="Verdana"/>
          <w:kern w:val="2"/>
          <w:lang w:eastAsia="ar-SA"/>
        </w:rPr>
        <w:t xml:space="preserve">L’Ente è inoltre tenuto a sostenere tutti i costi di collegamento e di interfacciamento del proprio </w:t>
      </w:r>
      <w:r>
        <w:rPr>
          <w:rFonts w:ascii="Verdana" w:hAnsi="Verdana" w:cs="Tahoma"/>
          <w:bCs/>
          <w:kern w:val="2"/>
          <w:lang w:eastAsia="ar-SA"/>
        </w:rPr>
        <w:t xml:space="preserve">sistema con il Nodo Telematico di Interscambio, </w:t>
      </w:r>
      <w:r>
        <w:rPr>
          <w:rFonts w:ascii="Verdana" w:hAnsi="Verdana" w:cs="Tahoma"/>
          <w:kern w:val="2"/>
          <w:lang w:eastAsia="ar-SA"/>
        </w:rPr>
        <w:t>gestito da Intercent-ER.</w:t>
      </w:r>
    </w:p>
    <w:p w14:paraId="0C1E2E83" w14:textId="28270C03" w:rsidR="005E2D60" w:rsidRPr="0009031E" w:rsidRDefault="005E2D60" w:rsidP="00D0299C">
      <w:pPr>
        <w:widowControl/>
        <w:suppressAutoHyphens/>
        <w:adjustRightInd/>
        <w:spacing w:after="120" w:line="360" w:lineRule="auto"/>
        <w:ind w:right="-1"/>
        <w:rPr>
          <w:rFonts w:ascii="Verdana" w:eastAsia="Lucida Sans Unicode" w:hAnsi="Verdana"/>
          <w:kern w:val="1"/>
          <w:lang w:eastAsia="ar-SA"/>
        </w:rPr>
      </w:pPr>
    </w:p>
    <w:p w14:paraId="7CEB0644" w14:textId="77777777" w:rsidR="005E2D60" w:rsidRPr="0009031E" w:rsidRDefault="005E2D60" w:rsidP="00D0299C">
      <w:pPr>
        <w:keepNext/>
        <w:widowControl/>
        <w:suppressAutoHyphens/>
        <w:adjustRightInd/>
        <w:spacing w:line="360" w:lineRule="auto"/>
        <w:jc w:val="center"/>
        <w:rPr>
          <w:rFonts w:ascii="Verdana" w:hAnsi="Verdana" w:cs="Tahoma"/>
          <w:b/>
          <w:kern w:val="1"/>
          <w:lang w:eastAsia="ar-SA"/>
        </w:rPr>
      </w:pPr>
      <w:r w:rsidRPr="0009031E">
        <w:rPr>
          <w:rFonts w:ascii="Verdana" w:hAnsi="Verdana" w:cs="Tahoma"/>
          <w:b/>
          <w:kern w:val="1"/>
          <w:lang w:eastAsia="ar-SA"/>
        </w:rPr>
        <w:t>Art. 6</w:t>
      </w:r>
    </w:p>
    <w:p w14:paraId="6EB3D683" w14:textId="5F5C651F" w:rsidR="00B14814" w:rsidRPr="00B14814" w:rsidRDefault="005E2D60"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 </w:t>
      </w:r>
      <w:r w:rsidR="00B14814" w:rsidRPr="00B14814">
        <w:rPr>
          <w:rFonts w:ascii="Verdana" w:hAnsi="Verdana" w:cs="Tahoma"/>
          <w:b/>
          <w:kern w:val="2"/>
          <w:lang w:eastAsia="ar-SA"/>
        </w:rPr>
        <w:t>(Obblighi e responsabilità di Intercent-ER)</w:t>
      </w:r>
    </w:p>
    <w:p w14:paraId="04394E43" w14:textId="77777777" w:rsidR="00B14814" w:rsidRPr="00B14814" w:rsidRDefault="00B14814" w:rsidP="006F05B5">
      <w:pPr>
        <w:widowControl/>
        <w:numPr>
          <w:ilvl w:val="0"/>
          <w:numId w:val="10"/>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Intercent-ER si impegna a rispettare tutte le prescrizioni tecniche e procedurali definite dal legislatore nazionale per garantire, </w:t>
      </w:r>
      <w:r w:rsidRPr="00B14814">
        <w:rPr>
          <w:rFonts w:ascii="Verdana" w:hAnsi="Verdana" w:cs="Tahoma"/>
          <w:color w:val="000000"/>
          <w:kern w:val="2"/>
          <w:lang w:eastAsia="ar-SA"/>
        </w:rPr>
        <w:t xml:space="preserve">tramite </w:t>
      </w:r>
      <w:proofErr w:type="spellStart"/>
      <w:r w:rsidRPr="00B14814">
        <w:rPr>
          <w:rFonts w:ascii="Verdana" w:hAnsi="Verdana" w:cs="Tahoma"/>
          <w:color w:val="000000"/>
          <w:kern w:val="2"/>
          <w:lang w:eastAsia="ar-SA"/>
        </w:rPr>
        <w:t>NoTI</w:t>
      </w:r>
      <w:proofErr w:type="spellEnd"/>
      <w:r w:rsidRPr="00B14814">
        <w:rPr>
          <w:rFonts w:ascii="Verdana" w:hAnsi="Verdana" w:cs="Tahoma"/>
          <w:color w:val="000000"/>
          <w:kern w:val="2"/>
          <w:lang w:eastAsia="ar-SA"/>
        </w:rPr>
        <w:t>-ER</w:t>
      </w:r>
      <w:r w:rsidRPr="00B14814">
        <w:rPr>
          <w:rFonts w:ascii="Verdana" w:hAnsi="Verdana" w:cs="Tahoma"/>
          <w:kern w:val="2"/>
          <w:lang w:eastAsia="ar-SA"/>
        </w:rPr>
        <w:t>, la ricezione e la trasmissione delle fatture elettroniche da e verso il Sistema di Interscambio.</w:t>
      </w:r>
    </w:p>
    <w:p w14:paraId="257C1EC2" w14:textId="77777777" w:rsidR="00B14814" w:rsidRPr="00B14814" w:rsidRDefault="00B14814" w:rsidP="006F05B5">
      <w:pPr>
        <w:widowControl/>
        <w:numPr>
          <w:ilvl w:val="0"/>
          <w:numId w:val="10"/>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Intercent-ER si impegna, inoltre, a rispettare le regole tecniche stabilite da </w:t>
      </w:r>
      <w:proofErr w:type="spellStart"/>
      <w:r w:rsidRPr="00B14814">
        <w:rPr>
          <w:rFonts w:ascii="Verdana" w:hAnsi="Verdana" w:cs="Tahoma"/>
          <w:kern w:val="2"/>
          <w:lang w:eastAsia="ar-SA"/>
        </w:rPr>
        <w:t>OpenPEPPOL</w:t>
      </w:r>
      <w:proofErr w:type="spellEnd"/>
      <w:r w:rsidRPr="00B14814">
        <w:rPr>
          <w:rFonts w:ascii="Verdana" w:hAnsi="Verdana" w:cs="Tahoma"/>
          <w:kern w:val="2"/>
          <w:lang w:eastAsia="ar-SA"/>
        </w:rPr>
        <w:t xml:space="preserve"> AISBL e dalla PEPPOL Authority italiana AGID per la ricezione e l’invio dei documenti attraverso l’infrastruttura PEPPOL.</w:t>
      </w:r>
    </w:p>
    <w:p w14:paraId="25B4B7B8" w14:textId="19DA7E36" w:rsidR="00B14814" w:rsidRPr="00B14814" w:rsidRDefault="00B14814" w:rsidP="006F05B5">
      <w:pPr>
        <w:widowControl/>
        <w:numPr>
          <w:ilvl w:val="0"/>
          <w:numId w:val="10"/>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Intercent-ER, in quanto struttura della Regione Emilia-Romagna che utilizza l’infrastruttura di rete telematica della Giunta per l’accesso ai servizi di rete e Internet e/o sistemi informativi, gestiti dalle strutture informatiche centrali della Giunta e/o server dislocati presso il </w:t>
      </w:r>
      <w:r w:rsidR="00816D6F" w:rsidRPr="0015413F">
        <w:rPr>
          <w:rFonts w:ascii="Verdana" w:hAnsi="Verdana" w:cs="Tahoma"/>
          <w:kern w:val="2"/>
          <w:lang w:eastAsia="ar-SA"/>
        </w:rPr>
        <w:t>Data Center r</w:t>
      </w:r>
      <w:r w:rsidRPr="0015413F">
        <w:rPr>
          <w:rFonts w:ascii="Verdana" w:hAnsi="Verdana" w:cs="Tahoma"/>
          <w:kern w:val="2"/>
          <w:lang w:eastAsia="ar-SA"/>
        </w:rPr>
        <w:t>egionale</w:t>
      </w:r>
      <w:r w:rsidRPr="00B14814">
        <w:rPr>
          <w:rFonts w:ascii="Verdana" w:hAnsi="Verdana" w:cs="Tahoma"/>
          <w:kern w:val="2"/>
          <w:lang w:eastAsia="ar-SA"/>
        </w:rPr>
        <w:t xml:space="preserve">, è soggetta alle policy centralizzate di protezione e di backup ed alle misure di sicurezza </w:t>
      </w:r>
      <w:r w:rsidRPr="00B14814">
        <w:rPr>
          <w:rFonts w:ascii="Verdana" w:hAnsi="Verdana" w:cs="Tahoma"/>
          <w:kern w:val="2"/>
          <w:lang w:eastAsia="ar-SA"/>
        </w:rPr>
        <w:lastRenderedPageBreak/>
        <w:t>di carattere tecnologico della Regione Emilia-Romagna (sia in essere sia da adottare).</w:t>
      </w:r>
    </w:p>
    <w:p w14:paraId="20F8CD03" w14:textId="77777777" w:rsidR="00B14814" w:rsidRPr="00B14814" w:rsidRDefault="00B14814" w:rsidP="006F05B5">
      <w:pPr>
        <w:widowControl/>
        <w:numPr>
          <w:ilvl w:val="0"/>
          <w:numId w:val="10"/>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 Pertanto, per quanto non rientra nel perimetro di attribuzioni di Intercent-ER, si fa rinvio alle policy regionali di gestione della sicurezza (come esplicitate nel Documento Programmatico sulla Sicurezza della Giunta della Regione Emilia-Romagna approvato con deliberazione n. 1778 del 7/11/2005, e successivi aggiornamenti, incluse quelle che devono essere garantite dal gestore della piattaforma Intercent-ER), così come alle relative coperture assicurative stipulate e/o </w:t>
      </w:r>
      <w:proofErr w:type="spellStart"/>
      <w:r w:rsidRPr="00B14814">
        <w:rPr>
          <w:rFonts w:ascii="Verdana" w:hAnsi="Verdana" w:cs="Tahoma"/>
          <w:kern w:val="2"/>
          <w:lang w:eastAsia="ar-SA"/>
        </w:rPr>
        <w:t>stipulande</w:t>
      </w:r>
      <w:proofErr w:type="spellEnd"/>
      <w:r w:rsidRPr="00B14814">
        <w:rPr>
          <w:rFonts w:ascii="Verdana" w:hAnsi="Verdana" w:cs="Tahoma"/>
          <w:kern w:val="2"/>
          <w:lang w:eastAsia="ar-SA"/>
        </w:rPr>
        <w:t xml:space="preserve"> dalla Regione Emilia-Romagna.</w:t>
      </w:r>
    </w:p>
    <w:p w14:paraId="68F46733"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7</w:t>
      </w:r>
    </w:p>
    <w:p w14:paraId="0327F1D6"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(Obblighi e responsabilità dell’Ente)</w:t>
      </w:r>
    </w:p>
    <w:p w14:paraId="2E755E35" w14:textId="77777777" w:rsidR="00B14814" w:rsidRPr="00B14814"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L'Ente si impegna, sotto il profilo tecnico, organizzativo e gestionale, ad assicurare l’interfacciamento ed il collegamento dei propri sistemi con il </w:t>
      </w:r>
      <w:proofErr w:type="spellStart"/>
      <w:r w:rsidRPr="00B14814">
        <w:rPr>
          <w:rFonts w:ascii="Verdana" w:hAnsi="Verdana" w:cs="Tahoma"/>
          <w:kern w:val="2"/>
          <w:lang w:eastAsia="ar-SA"/>
        </w:rPr>
        <w:t>NoTI</w:t>
      </w:r>
      <w:proofErr w:type="spellEnd"/>
      <w:r w:rsidRPr="00B14814">
        <w:rPr>
          <w:rFonts w:ascii="Verdana" w:hAnsi="Verdana" w:cs="Tahoma"/>
          <w:kern w:val="2"/>
          <w:lang w:eastAsia="ar-SA"/>
        </w:rPr>
        <w:t xml:space="preserve">-ER gestito da Intercent-ER, garantendo che il trasferimento dei documenti elettronici avvenga nei modi e nelle forme definite da Intercent-ER ai fini della dematerializzazione del processo, nel rispetto delle norme europee e statali vigenti in materia. </w:t>
      </w:r>
    </w:p>
    <w:p w14:paraId="67ABEB53" w14:textId="77777777" w:rsidR="00B14814" w:rsidRPr="00B14814"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L’Ente registrato è titolare e responsabile in via esclusiva dei contenuti dei documenti trasferiti e garantisce l’autenticità ed integrità degli stessi, nonché l’esattezza, la completezza e la veridicità dei dati personali e delle informazioni comunicate, sollevando Intercent-ER da qualsiasi responsabilità al riguardo ed obbligandosi sin d’ora a comunicare qualsiasi mutamento relativo alle informazioni dichiarate al momento della registrazione.</w:t>
      </w:r>
    </w:p>
    <w:p w14:paraId="496FB85A" w14:textId="6E28A1E0" w:rsidR="00B14814" w:rsidRPr="00816D6F" w:rsidRDefault="00B14814" w:rsidP="00816D6F">
      <w:pPr>
        <w:widowControl/>
        <w:numPr>
          <w:ilvl w:val="0"/>
          <w:numId w:val="11"/>
        </w:numPr>
        <w:suppressAutoHyphens/>
        <w:adjustRightInd/>
        <w:spacing w:line="360" w:lineRule="auto"/>
        <w:rPr>
          <w:rFonts w:ascii="Verdana" w:hAnsi="Verdana" w:cs="Tahoma"/>
          <w:kern w:val="2"/>
          <w:lang w:eastAsia="ar-SA"/>
        </w:rPr>
      </w:pPr>
      <w:r w:rsidRPr="00B14814">
        <w:rPr>
          <w:rFonts w:ascii="Verdana" w:eastAsia="Lucida Sans Unicode" w:hAnsi="Verdana" w:cs="Tahoma"/>
          <w:kern w:val="2"/>
          <w:lang w:eastAsia="ar-SA"/>
        </w:rPr>
        <w:t xml:space="preserve">L’Ente registrato accetta integralmente i contenuti del presente Accordo e dei documenti correlati del sito internet di Intercent-ER </w:t>
      </w:r>
      <w:hyperlink r:id="rId11" w:history="1">
        <w:r w:rsidR="00816D6F" w:rsidRPr="007408BB">
          <w:rPr>
            <w:rStyle w:val="Collegamentoipertestuale"/>
            <w:rFonts w:ascii="Verdana" w:hAnsi="Verdana" w:cs="Tahoma"/>
            <w:kern w:val="1"/>
            <w:lang w:eastAsia="ar-SA"/>
          </w:rPr>
          <w:t>https://intercenter.regione.emilia-romagna.it/noti-er-ordini-ddt-fatture/noti-er-informazioni-generali</w:t>
        </w:r>
      </w:hyperlink>
      <w:r w:rsidR="00816D6F">
        <w:rPr>
          <w:rFonts w:ascii="Verdana" w:hAnsi="Verdana" w:cs="Tahoma"/>
          <w:kern w:val="2"/>
          <w:lang w:eastAsia="ar-SA"/>
        </w:rPr>
        <w:t xml:space="preserve"> </w:t>
      </w:r>
      <w:r w:rsidRPr="00816D6F">
        <w:rPr>
          <w:rFonts w:ascii="Verdana" w:eastAsia="Lucida Sans Unicode" w:hAnsi="Verdana" w:cs="Tahoma"/>
          <w:kern w:val="2"/>
          <w:lang w:eastAsia="ar-SA"/>
        </w:rPr>
        <w:t xml:space="preserve">, obbligandosi a verificare la corretta gestione dello stesso da parte dei soggetti delegati all’utilizzo dei servizi connessi, garantendo un uso corretto esclusivamente per le finalità previste dal presente accordo con l’assunzione di ogni responsabilità derivante da un utilizzo illegittimo e/o non pertinente dei servizi del </w:t>
      </w:r>
      <w:proofErr w:type="spellStart"/>
      <w:r w:rsidRPr="00816D6F">
        <w:rPr>
          <w:rFonts w:ascii="Verdana" w:eastAsia="Lucida Sans Unicode" w:hAnsi="Verdana" w:cs="Tahoma"/>
          <w:kern w:val="2"/>
          <w:lang w:eastAsia="ar-SA"/>
        </w:rPr>
        <w:t>NoTI</w:t>
      </w:r>
      <w:proofErr w:type="spellEnd"/>
      <w:r w:rsidRPr="00816D6F">
        <w:rPr>
          <w:rFonts w:ascii="Verdana" w:eastAsia="Lucida Sans Unicode" w:hAnsi="Verdana" w:cs="Tahoma"/>
          <w:kern w:val="2"/>
          <w:lang w:eastAsia="ar-SA"/>
        </w:rPr>
        <w:t>-ER.</w:t>
      </w:r>
    </w:p>
    <w:p w14:paraId="5E002F6F" w14:textId="77777777" w:rsidR="00B14814" w:rsidRPr="00B14814"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L’Ente registrato è tenuto ad eseguire il monitoraggio in merito al corretto funzionamento del sistema di dematerializzazione, provvedendo, altresì, a risolvere tempestivamente eventuali problematiche tecniche che riguardino i propri sistemi software, hardware e connettività. Intercent-ER non è in alcun modo ritenuta responsabile per qualunque genere di danno, diretto o indiretto, che dovessero subire gli Utenti del Sistema, le Amministrazioni o i </w:t>
      </w:r>
      <w:r w:rsidRPr="00B14814">
        <w:rPr>
          <w:rFonts w:ascii="Verdana" w:hAnsi="Verdana" w:cs="Tahoma"/>
          <w:kern w:val="2"/>
          <w:lang w:eastAsia="ar-SA"/>
        </w:rPr>
        <w:lastRenderedPageBreak/>
        <w:t>terzi a causa o comunque in connessione a problematiche tecniche di cui sopra.</w:t>
      </w:r>
    </w:p>
    <w:p w14:paraId="48288DE4" w14:textId="77777777" w:rsidR="00B14814" w:rsidRPr="00B14814" w:rsidRDefault="00B14814" w:rsidP="006F05B5">
      <w:pPr>
        <w:widowControl/>
        <w:numPr>
          <w:ilvl w:val="0"/>
          <w:numId w:val="11"/>
        </w:numPr>
        <w:suppressAutoHyphens/>
        <w:adjustRightInd/>
        <w:spacing w:line="360" w:lineRule="auto"/>
        <w:rPr>
          <w:rFonts w:ascii="Verdana" w:hAnsi="Verdana" w:cs="Tahoma"/>
          <w:kern w:val="2"/>
          <w:lang w:eastAsia="ar-SA"/>
        </w:rPr>
      </w:pPr>
      <w:r w:rsidRPr="00B14814">
        <w:rPr>
          <w:rFonts w:ascii="Verdana" w:hAnsi="Verdana"/>
          <w:color w:val="000000"/>
          <w:kern w:val="2"/>
          <w:lang w:eastAsia="ar-SA"/>
        </w:rPr>
        <w:t xml:space="preserve">Gli Utenti dei servizi </w:t>
      </w:r>
      <w:proofErr w:type="spellStart"/>
      <w:r w:rsidRPr="00B14814">
        <w:rPr>
          <w:rFonts w:ascii="Verdana" w:hAnsi="Verdana"/>
          <w:color w:val="000000"/>
          <w:kern w:val="2"/>
          <w:lang w:eastAsia="ar-SA"/>
        </w:rPr>
        <w:t>NoTI</w:t>
      </w:r>
      <w:proofErr w:type="spellEnd"/>
      <w:r w:rsidRPr="00B14814">
        <w:rPr>
          <w:rFonts w:ascii="Verdana" w:hAnsi="Verdana"/>
          <w:color w:val="000000"/>
          <w:kern w:val="2"/>
          <w:lang w:eastAsia="ar-SA"/>
        </w:rPr>
        <w:t xml:space="preserve">-ER sono tenuti ad utilizzare i servizi stessi secondo buona fede ed esclusivamente per i fini ammessi dal presente Accordo. Gli Enti registrati sono responsabili per le violazioni delle disposizioni di legge e regolamentari, in materia di </w:t>
      </w:r>
      <w:r w:rsidRPr="00B14814">
        <w:rPr>
          <w:rFonts w:ascii="Verdana" w:hAnsi="Verdana"/>
          <w:kern w:val="2"/>
          <w:lang w:eastAsia="ar-SA"/>
        </w:rPr>
        <w:t>dematerializzazione del ciclo passivo degli acquisti</w:t>
      </w:r>
      <w:r w:rsidRPr="00B14814">
        <w:rPr>
          <w:rFonts w:ascii="Verdana" w:hAnsi="Verdana"/>
          <w:color w:val="000000"/>
          <w:kern w:val="2"/>
          <w:lang w:eastAsia="ar-SA"/>
        </w:rPr>
        <w:t xml:space="preserve"> e per qualunque genere di illecito amministrativo, civile o penale.</w:t>
      </w:r>
    </w:p>
    <w:p w14:paraId="56D83221" w14:textId="77777777" w:rsidR="00B14814" w:rsidRPr="00B14814" w:rsidRDefault="00B14814" w:rsidP="006F05B5">
      <w:pPr>
        <w:widowControl/>
        <w:suppressAutoHyphens/>
        <w:adjustRightInd/>
        <w:spacing w:line="360" w:lineRule="auto"/>
        <w:ind w:left="360"/>
        <w:rPr>
          <w:rFonts w:ascii="Verdana" w:eastAsia="Lucida Sans Unicode" w:hAnsi="Verdana" w:cs="Tahoma"/>
          <w:kern w:val="2"/>
          <w:lang w:eastAsia="ar-SA"/>
        </w:rPr>
      </w:pPr>
    </w:p>
    <w:p w14:paraId="3F07EEB6"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8</w:t>
      </w:r>
    </w:p>
    <w:p w14:paraId="2E5D83FA"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(Durata dell’Accordo di Servizio) </w:t>
      </w:r>
    </w:p>
    <w:p w14:paraId="59182C1C" w14:textId="6580F0D5" w:rsidR="00356DA1" w:rsidRPr="00356DA1" w:rsidRDefault="00D0299C" w:rsidP="00356DA1">
      <w:pPr>
        <w:numPr>
          <w:ilvl w:val="0"/>
          <w:numId w:val="12"/>
        </w:numPr>
        <w:rPr>
          <w:rFonts w:ascii="Verdana" w:eastAsia="Lucida Sans Unicode" w:hAnsi="Verdana" w:cs="Tahoma"/>
          <w:kern w:val="2"/>
          <w:lang w:eastAsia="ar-SA"/>
        </w:rPr>
      </w:pPr>
      <w:r w:rsidRPr="00D0299C">
        <w:rPr>
          <w:rFonts w:ascii="Verdana" w:eastAsia="Lucida Sans Unicode" w:hAnsi="Verdana" w:cs="Tahoma"/>
          <w:kern w:val="2"/>
          <w:lang w:eastAsia="ar-SA"/>
        </w:rPr>
        <w:t xml:space="preserve">Il presente Accordo di Servizio decorre dalla data di sottoscrizione ed ha una durata di </w:t>
      </w:r>
      <w:r w:rsidR="00517A52">
        <w:rPr>
          <w:rFonts w:ascii="Verdana" w:eastAsia="Lucida Sans Unicode" w:hAnsi="Verdana" w:cs="Tahoma"/>
          <w:kern w:val="2"/>
          <w:lang w:eastAsia="ar-SA"/>
        </w:rPr>
        <w:t>tre</w:t>
      </w:r>
      <w:r w:rsidRPr="00D0299C">
        <w:rPr>
          <w:rFonts w:ascii="Verdana" w:eastAsia="Lucida Sans Unicode" w:hAnsi="Verdana" w:cs="Tahoma"/>
          <w:kern w:val="2"/>
          <w:lang w:eastAsia="ar-SA"/>
        </w:rPr>
        <w:t xml:space="preserve"> anni con possibilità di rinnovo per ulteriori due anni da concordarsi nei sei mesi precedenti la scadenza.</w:t>
      </w:r>
    </w:p>
    <w:p w14:paraId="2C522781" w14:textId="77777777" w:rsidR="000B1DED" w:rsidRDefault="000B1DED" w:rsidP="00D0299C">
      <w:pPr>
        <w:keepNext/>
        <w:widowControl/>
        <w:suppressAutoHyphens/>
        <w:adjustRightInd/>
        <w:spacing w:line="360" w:lineRule="auto"/>
        <w:jc w:val="center"/>
        <w:rPr>
          <w:rFonts w:ascii="Verdana" w:hAnsi="Verdana" w:cs="Tahoma"/>
          <w:b/>
          <w:kern w:val="2"/>
          <w:lang w:eastAsia="ar-SA"/>
        </w:rPr>
      </w:pPr>
    </w:p>
    <w:p w14:paraId="715553B0" w14:textId="77777777" w:rsidR="00A5775E" w:rsidRPr="00B14814" w:rsidRDefault="00A5775E" w:rsidP="00A5775E">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9</w:t>
      </w:r>
    </w:p>
    <w:p w14:paraId="71787FF2" w14:textId="54026C58" w:rsidR="00A5775E" w:rsidRPr="00B14814" w:rsidRDefault="00A5775E" w:rsidP="00A5775E">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w:t>
      </w:r>
      <w:r>
        <w:rPr>
          <w:rFonts w:ascii="Verdana" w:hAnsi="Verdana" w:cs="Tahoma"/>
          <w:b/>
          <w:kern w:val="2"/>
          <w:lang w:eastAsia="ar-SA"/>
        </w:rPr>
        <w:t>Imposta di bollo</w:t>
      </w:r>
      <w:r w:rsidRPr="00B14814">
        <w:rPr>
          <w:rFonts w:ascii="Verdana" w:hAnsi="Verdana" w:cs="Tahoma"/>
          <w:b/>
          <w:kern w:val="2"/>
          <w:lang w:eastAsia="ar-SA"/>
        </w:rPr>
        <w:t xml:space="preserve">) </w:t>
      </w:r>
    </w:p>
    <w:p w14:paraId="503D4B20" w14:textId="77777777" w:rsidR="00C64DC4" w:rsidRPr="00C64DC4" w:rsidRDefault="00C64DC4" w:rsidP="00C64DC4">
      <w:pPr>
        <w:keepNext/>
        <w:widowControl/>
        <w:numPr>
          <w:ilvl w:val="0"/>
          <w:numId w:val="23"/>
        </w:numPr>
        <w:suppressAutoHyphens/>
        <w:adjustRightInd/>
        <w:spacing w:line="360" w:lineRule="auto"/>
        <w:rPr>
          <w:rFonts w:ascii="Verdana" w:hAnsi="Verdana" w:cs="Tahoma"/>
          <w:kern w:val="2"/>
          <w:lang w:val="en-US" w:eastAsia="ar-SA"/>
        </w:rPr>
      </w:pPr>
      <w:r w:rsidRPr="00C64DC4">
        <w:rPr>
          <w:rFonts w:ascii="Verdana" w:hAnsi="Verdana" w:cs="Tahoma"/>
          <w:kern w:val="2"/>
          <w:lang w:val="en-US" w:eastAsia="ar-SA"/>
        </w:rPr>
        <w:t xml:space="preserve">Il </w:t>
      </w:r>
      <w:proofErr w:type="spellStart"/>
      <w:r w:rsidRPr="00C64DC4">
        <w:rPr>
          <w:rFonts w:ascii="Verdana" w:hAnsi="Verdana" w:cs="Tahoma"/>
          <w:kern w:val="2"/>
          <w:lang w:val="en-US" w:eastAsia="ar-SA"/>
        </w:rPr>
        <w:t>presente</w:t>
      </w:r>
      <w:proofErr w:type="spellEnd"/>
      <w:r w:rsidRPr="00C64DC4">
        <w:rPr>
          <w:rFonts w:ascii="Verdana" w:hAnsi="Verdana" w:cs="Tahoma"/>
          <w:kern w:val="2"/>
          <w:lang w:val="en-US" w:eastAsia="ar-SA"/>
        </w:rPr>
        <w:t xml:space="preserve"> </w:t>
      </w:r>
      <w:proofErr w:type="spellStart"/>
      <w:r w:rsidRPr="00C64DC4">
        <w:rPr>
          <w:rFonts w:ascii="Verdana" w:hAnsi="Verdana" w:cs="Tahoma"/>
          <w:kern w:val="2"/>
          <w:lang w:val="en-US" w:eastAsia="ar-SA"/>
        </w:rPr>
        <w:t>Accordo</w:t>
      </w:r>
      <w:proofErr w:type="spellEnd"/>
      <w:r w:rsidRPr="00C64DC4">
        <w:rPr>
          <w:rFonts w:ascii="Verdana" w:hAnsi="Verdana" w:cs="Tahoma"/>
          <w:kern w:val="2"/>
          <w:lang w:val="en-US" w:eastAsia="ar-SA"/>
        </w:rPr>
        <w:t xml:space="preserve"> è </w:t>
      </w:r>
      <w:proofErr w:type="spellStart"/>
      <w:r w:rsidRPr="00C64DC4">
        <w:rPr>
          <w:rFonts w:ascii="Verdana" w:hAnsi="Verdana" w:cs="Tahoma"/>
          <w:kern w:val="2"/>
          <w:lang w:val="en-US" w:eastAsia="ar-SA"/>
        </w:rPr>
        <w:t>soggetto</w:t>
      </w:r>
      <w:proofErr w:type="spellEnd"/>
      <w:r w:rsidRPr="00C64DC4">
        <w:rPr>
          <w:rFonts w:ascii="Verdana" w:hAnsi="Verdana" w:cs="Tahoma"/>
          <w:kern w:val="2"/>
          <w:lang w:val="en-US" w:eastAsia="ar-SA"/>
        </w:rPr>
        <w:t xml:space="preserve"> al </w:t>
      </w:r>
      <w:proofErr w:type="spellStart"/>
      <w:r w:rsidRPr="00C64DC4">
        <w:rPr>
          <w:rFonts w:ascii="Verdana" w:hAnsi="Verdana" w:cs="Tahoma"/>
          <w:kern w:val="2"/>
          <w:lang w:val="en-US" w:eastAsia="ar-SA"/>
        </w:rPr>
        <w:t>pagamento</w:t>
      </w:r>
      <w:proofErr w:type="spellEnd"/>
      <w:r w:rsidRPr="00C64DC4">
        <w:rPr>
          <w:rFonts w:ascii="Verdana" w:hAnsi="Verdana" w:cs="Tahoma"/>
          <w:kern w:val="2"/>
          <w:lang w:val="en-US" w:eastAsia="ar-SA"/>
        </w:rPr>
        <w:t xml:space="preserve"> </w:t>
      </w:r>
      <w:proofErr w:type="spellStart"/>
      <w:r w:rsidRPr="00C64DC4">
        <w:rPr>
          <w:rFonts w:ascii="Verdana" w:hAnsi="Verdana" w:cs="Tahoma"/>
          <w:kern w:val="2"/>
          <w:lang w:val="en-US" w:eastAsia="ar-SA"/>
        </w:rPr>
        <w:t>dell’imposta</w:t>
      </w:r>
      <w:proofErr w:type="spellEnd"/>
      <w:r w:rsidRPr="00C64DC4">
        <w:rPr>
          <w:rFonts w:ascii="Verdana" w:hAnsi="Verdana" w:cs="Tahoma"/>
          <w:kern w:val="2"/>
          <w:lang w:val="en-US" w:eastAsia="ar-SA"/>
        </w:rPr>
        <w:t xml:space="preserve"> di bollo fin </w:t>
      </w:r>
      <w:proofErr w:type="spellStart"/>
      <w:r w:rsidRPr="00C64DC4">
        <w:rPr>
          <w:rFonts w:ascii="Verdana" w:hAnsi="Verdana" w:cs="Tahoma"/>
          <w:kern w:val="2"/>
          <w:lang w:val="en-US" w:eastAsia="ar-SA"/>
        </w:rPr>
        <w:t>dall’origine</w:t>
      </w:r>
      <w:proofErr w:type="spellEnd"/>
      <w:r w:rsidRPr="00C64DC4">
        <w:rPr>
          <w:rFonts w:ascii="Verdana" w:hAnsi="Verdana" w:cs="Tahoma"/>
          <w:kern w:val="2"/>
          <w:lang w:val="en-US" w:eastAsia="ar-SA"/>
        </w:rPr>
        <w:t xml:space="preserve"> ai sensi del D.P.R. 26 </w:t>
      </w:r>
      <w:proofErr w:type="spellStart"/>
      <w:r w:rsidRPr="00C64DC4">
        <w:rPr>
          <w:rFonts w:ascii="Verdana" w:hAnsi="Verdana" w:cs="Tahoma"/>
          <w:kern w:val="2"/>
          <w:lang w:val="en-US" w:eastAsia="ar-SA"/>
        </w:rPr>
        <w:t>ottobre</w:t>
      </w:r>
      <w:proofErr w:type="spellEnd"/>
      <w:r w:rsidRPr="00C64DC4">
        <w:rPr>
          <w:rFonts w:ascii="Verdana" w:hAnsi="Verdana" w:cs="Tahoma"/>
          <w:kern w:val="2"/>
          <w:lang w:val="en-US" w:eastAsia="ar-SA"/>
        </w:rPr>
        <w:t xml:space="preserve"> 1972, n. 642 </w:t>
      </w:r>
      <w:proofErr w:type="spellStart"/>
      <w:r w:rsidRPr="00C64DC4">
        <w:rPr>
          <w:rFonts w:ascii="Verdana" w:hAnsi="Verdana" w:cs="Tahoma"/>
          <w:kern w:val="2"/>
          <w:lang w:val="en-US" w:eastAsia="ar-SA"/>
        </w:rPr>
        <w:t>Disciplina</w:t>
      </w:r>
      <w:proofErr w:type="spellEnd"/>
      <w:r w:rsidRPr="00C64DC4">
        <w:rPr>
          <w:rFonts w:ascii="Verdana" w:hAnsi="Verdana" w:cs="Tahoma"/>
          <w:kern w:val="2"/>
          <w:lang w:val="en-US" w:eastAsia="ar-SA"/>
        </w:rPr>
        <w:t xml:space="preserve"> </w:t>
      </w:r>
      <w:proofErr w:type="spellStart"/>
      <w:r w:rsidRPr="00C64DC4">
        <w:rPr>
          <w:rFonts w:ascii="Verdana" w:hAnsi="Verdana" w:cs="Tahoma"/>
          <w:kern w:val="2"/>
          <w:lang w:val="en-US" w:eastAsia="ar-SA"/>
        </w:rPr>
        <w:t>dell'imposta</w:t>
      </w:r>
      <w:proofErr w:type="spellEnd"/>
      <w:r w:rsidRPr="00C64DC4">
        <w:rPr>
          <w:rFonts w:ascii="Verdana" w:hAnsi="Verdana" w:cs="Tahoma"/>
          <w:kern w:val="2"/>
          <w:lang w:val="en-US" w:eastAsia="ar-SA"/>
        </w:rPr>
        <w:t xml:space="preserve"> di bollo, </w:t>
      </w:r>
      <w:proofErr w:type="spellStart"/>
      <w:r w:rsidRPr="00C64DC4">
        <w:rPr>
          <w:rFonts w:ascii="Verdana" w:hAnsi="Verdana" w:cs="Tahoma"/>
          <w:kern w:val="2"/>
          <w:lang w:val="en-US" w:eastAsia="ar-SA"/>
        </w:rPr>
        <w:t>Allegato</w:t>
      </w:r>
      <w:proofErr w:type="spellEnd"/>
      <w:r w:rsidRPr="00C64DC4">
        <w:rPr>
          <w:rFonts w:ascii="Verdana" w:hAnsi="Verdana" w:cs="Tahoma"/>
          <w:kern w:val="2"/>
          <w:lang w:val="en-US" w:eastAsia="ar-SA"/>
        </w:rPr>
        <w:t xml:space="preserve"> A, art. 2 </w:t>
      </w:r>
      <w:proofErr w:type="spellStart"/>
      <w:r w:rsidRPr="00C64DC4">
        <w:rPr>
          <w:rFonts w:ascii="Verdana" w:hAnsi="Verdana" w:cs="Tahoma"/>
          <w:kern w:val="2"/>
          <w:lang w:val="en-US" w:eastAsia="ar-SA"/>
        </w:rPr>
        <w:t>Tariffa</w:t>
      </w:r>
      <w:proofErr w:type="spellEnd"/>
      <w:r w:rsidRPr="00C64DC4">
        <w:rPr>
          <w:rFonts w:ascii="Verdana" w:hAnsi="Verdana" w:cs="Tahoma"/>
          <w:kern w:val="2"/>
          <w:lang w:val="en-US" w:eastAsia="ar-SA"/>
        </w:rPr>
        <w:t xml:space="preserve"> - </w:t>
      </w:r>
      <w:proofErr w:type="spellStart"/>
      <w:r w:rsidRPr="00C64DC4">
        <w:rPr>
          <w:rFonts w:ascii="Verdana" w:hAnsi="Verdana" w:cs="Tahoma"/>
          <w:kern w:val="2"/>
          <w:lang w:val="en-US" w:eastAsia="ar-SA"/>
        </w:rPr>
        <w:t>parte</w:t>
      </w:r>
      <w:proofErr w:type="spellEnd"/>
      <w:r w:rsidRPr="00C64DC4">
        <w:rPr>
          <w:rFonts w:ascii="Verdana" w:hAnsi="Verdana" w:cs="Tahoma"/>
          <w:kern w:val="2"/>
          <w:lang w:val="en-US" w:eastAsia="ar-SA"/>
        </w:rPr>
        <w:t xml:space="preserve"> prima.</w:t>
      </w:r>
    </w:p>
    <w:p w14:paraId="5A77E97C" w14:textId="77777777" w:rsidR="00C64DC4" w:rsidRPr="00C64DC4" w:rsidRDefault="00C64DC4" w:rsidP="00C64DC4">
      <w:pPr>
        <w:keepNext/>
        <w:widowControl/>
        <w:numPr>
          <w:ilvl w:val="0"/>
          <w:numId w:val="23"/>
        </w:numPr>
        <w:suppressAutoHyphens/>
        <w:adjustRightInd/>
        <w:spacing w:line="360" w:lineRule="auto"/>
        <w:rPr>
          <w:rFonts w:ascii="Verdana" w:hAnsi="Verdana" w:cs="Tahoma"/>
          <w:kern w:val="2"/>
          <w:lang w:val="en-US" w:eastAsia="ar-SA"/>
        </w:rPr>
      </w:pPr>
      <w:proofErr w:type="spellStart"/>
      <w:r w:rsidRPr="00C64DC4">
        <w:rPr>
          <w:rFonts w:ascii="Verdana" w:hAnsi="Verdana" w:cs="Tahoma"/>
          <w:kern w:val="2"/>
          <w:lang w:val="en-US" w:eastAsia="ar-SA"/>
        </w:rPr>
        <w:t>L’onere</w:t>
      </w:r>
      <w:proofErr w:type="spellEnd"/>
      <w:r w:rsidRPr="00C64DC4">
        <w:rPr>
          <w:rFonts w:ascii="Verdana" w:hAnsi="Verdana" w:cs="Tahoma"/>
          <w:kern w:val="2"/>
          <w:lang w:val="en-US" w:eastAsia="ar-SA"/>
        </w:rPr>
        <w:t xml:space="preserve"> del </w:t>
      </w:r>
      <w:proofErr w:type="spellStart"/>
      <w:r w:rsidRPr="00C64DC4">
        <w:rPr>
          <w:rFonts w:ascii="Verdana" w:hAnsi="Verdana" w:cs="Tahoma"/>
          <w:kern w:val="2"/>
          <w:lang w:val="en-US" w:eastAsia="ar-SA"/>
        </w:rPr>
        <w:t>pagamento</w:t>
      </w:r>
      <w:proofErr w:type="spellEnd"/>
      <w:r w:rsidRPr="00C64DC4">
        <w:rPr>
          <w:rFonts w:ascii="Verdana" w:hAnsi="Verdana" w:cs="Tahoma"/>
          <w:kern w:val="2"/>
          <w:lang w:val="en-US" w:eastAsia="ar-SA"/>
        </w:rPr>
        <w:t xml:space="preserve"> è a </w:t>
      </w:r>
      <w:proofErr w:type="spellStart"/>
      <w:r w:rsidRPr="00C64DC4">
        <w:rPr>
          <w:rFonts w:ascii="Verdana" w:hAnsi="Verdana" w:cs="Tahoma"/>
          <w:kern w:val="2"/>
          <w:lang w:val="en-US" w:eastAsia="ar-SA"/>
        </w:rPr>
        <w:t>carico</w:t>
      </w:r>
      <w:proofErr w:type="spellEnd"/>
      <w:r w:rsidRPr="00C64DC4">
        <w:rPr>
          <w:rFonts w:ascii="Verdana" w:hAnsi="Verdana" w:cs="Tahoma"/>
          <w:kern w:val="2"/>
          <w:lang w:val="en-US" w:eastAsia="ar-SA"/>
        </w:rPr>
        <w:t xml:space="preserve"> </w:t>
      </w:r>
      <w:proofErr w:type="spellStart"/>
      <w:r w:rsidRPr="00C64DC4">
        <w:rPr>
          <w:rFonts w:ascii="Verdana" w:hAnsi="Verdana" w:cs="Tahoma"/>
          <w:kern w:val="2"/>
          <w:lang w:val="en-US" w:eastAsia="ar-SA"/>
        </w:rPr>
        <w:t>dell’Ente</w:t>
      </w:r>
      <w:proofErr w:type="spellEnd"/>
      <w:r w:rsidRPr="00C64DC4">
        <w:rPr>
          <w:rFonts w:ascii="Verdana" w:hAnsi="Verdana" w:cs="Tahoma"/>
          <w:kern w:val="2"/>
          <w:lang w:val="en-US" w:eastAsia="ar-SA"/>
        </w:rPr>
        <w:t xml:space="preserve"> </w:t>
      </w:r>
      <w:proofErr w:type="spellStart"/>
      <w:r w:rsidRPr="00C64DC4">
        <w:rPr>
          <w:rFonts w:ascii="Verdana" w:hAnsi="Verdana" w:cs="Tahoma"/>
          <w:kern w:val="2"/>
          <w:lang w:val="en-US" w:eastAsia="ar-SA"/>
        </w:rPr>
        <w:t>Proponente</w:t>
      </w:r>
      <w:proofErr w:type="spellEnd"/>
      <w:r w:rsidRPr="00C64DC4">
        <w:rPr>
          <w:rFonts w:ascii="Verdana" w:hAnsi="Verdana" w:cs="Tahoma"/>
          <w:kern w:val="2"/>
          <w:lang w:val="en-US" w:eastAsia="ar-SA"/>
        </w:rPr>
        <w:t xml:space="preserve"> </w:t>
      </w:r>
      <w:proofErr w:type="spellStart"/>
      <w:r w:rsidRPr="00C64DC4">
        <w:rPr>
          <w:rFonts w:ascii="Verdana" w:hAnsi="Verdana" w:cs="Tahoma"/>
          <w:kern w:val="2"/>
          <w:lang w:val="en-US" w:eastAsia="ar-SA"/>
        </w:rPr>
        <w:t>che</w:t>
      </w:r>
      <w:proofErr w:type="spellEnd"/>
      <w:r w:rsidRPr="00C64DC4">
        <w:rPr>
          <w:rFonts w:ascii="Verdana" w:hAnsi="Verdana" w:cs="Tahoma"/>
          <w:kern w:val="2"/>
          <w:lang w:val="en-US" w:eastAsia="ar-SA"/>
        </w:rPr>
        <w:t xml:space="preserve"> ha interesse a </w:t>
      </w:r>
      <w:proofErr w:type="spellStart"/>
      <w:r w:rsidRPr="00C64DC4">
        <w:rPr>
          <w:rFonts w:ascii="Verdana" w:hAnsi="Verdana" w:cs="Tahoma"/>
          <w:kern w:val="2"/>
          <w:lang w:val="en-US" w:eastAsia="ar-SA"/>
        </w:rPr>
        <w:t>sottoscrivere</w:t>
      </w:r>
      <w:proofErr w:type="spellEnd"/>
      <w:r w:rsidRPr="00C64DC4">
        <w:rPr>
          <w:rFonts w:ascii="Verdana" w:hAnsi="Verdana" w:cs="Tahoma"/>
          <w:kern w:val="2"/>
          <w:lang w:val="en-US" w:eastAsia="ar-SA"/>
        </w:rPr>
        <w:t xml:space="preserve"> </w:t>
      </w:r>
      <w:proofErr w:type="spellStart"/>
      <w:r w:rsidRPr="00C64DC4">
        <w:rPr>
          <w:rFonts w:ascii="Verdana" w:hAnsi="Verdana" w:cs="Tahoma"/>
          <w:kern w:val="2"/>
          <w:lang w:val="en-US" w:eastAsia="ar-SA"/>
        </w:rPr>
        <w:t>l’Accordo</w:t>
      </w:r>
      <w:proofErr w:type="spellEnd"/>
      <w:r w:rsidRPr="00C64DC4">
        <w:rPr>
          <w:rFonts w:ascii="Verdana" w:hAnsi="Verdana" w:cs="Tahoma"/>
          <w:kern w:val="2"/>
          <w:lang w:val="en-US" w:eastAsia="ar-SA"/>
        </w:rPr>
        <w:t xml:space="preserve">. </w:t>
      </w:r>
    </w:p>
    <w:p w14:paraId="4545123D" w14:textId="77777777" w:rsidR="00C64DC4" w:rsidRPr="00C64DC4" w:rsidRDefault="00C64DC4" w:rsidP="00C64DC4">
      <w:pPr>
        <w:keepNext/>
        <w:widowControl/>
        <w:numPr>
          <w:ilvl w:val="0"/>
          <w:numId w:val="23"/>
        </w:numPr>
        <w:suppressAutoHyphens/>
        <w:adjustRightInd/>
        <w:spacing w:line="360" w:lineRule="auto"/>
        <w:rPr>
          <w:rFonts w:ascii="Verdana" w:hAnsi="Verdana" w:cs="Tahoma"/>
          <w:kern w:val="2"/>
          <w:lang w:eastAsia="ar-SA"/>
        </w:rPr>
      </w:pPr>
      <w:r w:rsidRPr="00C64DC4">
        <w:rPr>
          <w:rFonts w:ascii="Verdana" w:hAnsi="Verdana" w:cs="Tahoma"/>
          <w:kern w:val="2"/>
          <w:lang w:eastAsia="ar-SA"/>
        </w:rPr>
        <w:t>Il presente Accordo è soggetto a registrazione in caso d’uso ai sensi dell’art. 4 della Tariffa parte seconda del D.P.R. 26 aprile 1986 n. 131. Le spese di registrazione sono a carico della Parte richiedente.</w:t>
      </w:r>
    </w:p>
    <w:p w14:paraId="2F6F992B" w14:textId="77777777" w:rsidR="00C64DC4" w:rsidRDefault="00C64DC4" w:rsidP="00D0299C">
      <w:pPr>
        <w:keepNext/>
        <w:widowControl/>
        <w:suppressAutoHyphens/>
        <w:adjustRightInd/>
        <w:spacing w:line="360" w:lineRule="auto"/>
        <w:jc w:val="center"/>
        <w:rPr>
          <w:rFonts w:ascii="Verdana" w:hAnsi="Verdana" w:cs="Tahoma"/>
          <w:b/>
          <w:kern w:val="2"/>
          <w:lang w:eastAsia="ar-SA"/>
        </w:rPr>
      </w:pPr>
    </w:p>
    <w:p w14:paraId="1DCCE57B" w14:textId="115971CE"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Art. </w:t>
      </w:r>
      <w:r w:rsidR="00A5775E">
        <w:rPr>
          <w:rFonts w:ascii="Verdana" w:hAnsi="Verdana" w:cs="Tahoma"/>
          <w:b/>
          <w:kern w:val="2"/>
          <w:lang w:eastAsia="ar-SA"/>
        </w:rPr>
        <w:t>10</w:t>
      </w:r>
    </w:p>
    <w:p w14:paraId="588C60B8"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(Recesso) </w:t>
      </w:r>
    </w:p>
    <w:p w14:paraId="1C676629" w14:textId="77777777" w:rsidR="00B14814" w:rsidRPr="00B14814" w:rsidRDefault="00B14814" w:rsidP="006F05B5">
      <w:pPr>
        <w:widowControl/>
        <w:numPr>
          <w:ilvl w:val="0"/>
          <w:numId w:val="13"/>
        </w:numPr>
        <w:suppressAutoHyphens/>
        <w:adjustRightInd/>
        <w:spacing w:line="360" w:lineRule="auto"/>
        <w:rPr>
          <w:rFonts w:ascii="Verdana" w:eastAsia="Lucida Sans Unicode" w:hAnsi="Verdana" w:cs="Tahoma"/>
          <w:kern w:val="2"/>
          <w:lang w:eastAsia="ar-SA"/>
        </w:rPr>
      </w:pPr>
      <w:proofErr w:type="gramStart"/>
      <w:r w:rsidRPr="00B14814">
        <w:rPr>
          <w:rFonts w:ascii="Verdana" w:eastAsia="Lucida Sans Unicode" w:hAnsi="Verdana" w:cs="Tahoma"/>
          <w:kern w:val="2"/>
          <w:lang w:eastAsia="ar-SA"/>
        </w:rPr>
        <w:t>E’</w:t>
      </w:r>
      <w:proofErr w:type="gramEnd"/>
      <w:r w:rsidRPr="00B14814">
        <w:rPr>
          <w:rFonts w:ascii="Verdana" w:eastAsia="Lucida Sans Unicode" w:hAnsi="Verdana" w:cs="Tahoma"/>
          <w:kern w:val="2"/>
          <w:lang w:eastAsia="ar-SA"/>
        </w:rPr>
        <w:t xml:space="preserve"> facoltà di Intercent-ER, anche in caso di reiterate violazioni dei termini e delle condizioni del presente Accordo, recedere dallo stesso, con conseguente interruzione dei servizi ad esso connessi, fermo restando il diritto al risarcimento dei danni eventualmente subiti da Intercent-ER e/o da terzi soggetti pubblici o privati. </w:t>
      </w:r>
    </w:p>
    <w:p w14:paraId="45C6FB46" w14:textId="77777777" w:rsidR="00B14814" w:rsidRPr="00B14814" w:rsidRDefault="00B14814" w:rsidP="006F05B5">
      <w:pPr>
        <w:widowControl/>
        <w:numPr>
          <w:ilvl w:val="0"/>
          <w:numId w:val="13"/>
        </w:numPr>
        <w:suppressAutoHyphens/>
        <w:adjustRightInd/>
        <w:spacing w:after="120" w:line="360" w:lineRule="auto"/>
        <w:ind w:right="-1"/>
        <w:rPr>
          <w:rFonts w:ascii="Verdana" w:eastAsia="Lucida Sans Unicode" w:hAnsi="Verdana"/>
          <w:kern w:val="2"/>
          <w:lang w:eastAsia="ar-SA"/>
        </w:rPr>
      </w:pPr>
      <w:r w:rsidRPr="00B14814">
        <w:rPr>
          <w:rFonts w:ascii="Verdana" w:eastAsia="Lucida Sans Unicode" w:hAnsi="Verdana"/>
          <w:kern w:val="2"/>
          <w:lang w:eastAsia="ar-SA"/>
        </w:rPr>
        <w:t xml:space="preserve">L’Ente può chiedere, in qualsiasi momento, il recesso dall’Accordo, con conseguente interruzione dei servizi ad esso connessi, compatibilmente con il sussistere dei flussi ancora oggetto di elaborazione. </w:t>
      </w:r>
    </w:p>
    <w:p w14:paraId="7DA29819" w14:textId="77777777" w:rsidR="00B14814" w:rsidRPr="00B14814" w:rsidRDefault="00B14814" w:rsidP="006F05B5">
      <w:pPr>
        <w:widowControl/>
        <w:suppressAutoHyphens/>
        <w:adjustRightInd/>
        <w:spacing w:line="360" w:lineRule="auto"/>
        <w:rPr>
          <w:rFonts w:ascii="Verdana" w:hAnsi="Verdana" w:cs="Tahoma"/>
          <w:color w:val="000000"/>
          <w:kern w:val="2"/>
          <w:lang w:eastAsia="ar-SA"/>
        </w:rPr>
      </w:pPr>
    </w:p>
    <w:p w14:paraId="61B1F7F5" w14:textId="27E0F49B"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lastRenderedPageBreak/>
        <w:t>Art. 1</w:t>
      </w:r>
      <w:r w:rsidR="00A5775E">
        <w:rPr>
          <w:rFonts w:ascii="Verdana" w:hAnsi="Verdana" w:cs="Tahoma"/>
          <w:b/>
          <w:kern w:val="2"/>
          <w:lang w:eastAsia="ar-SA"/>
        </w:rPr>
        <w:t>1</w:t>
      </w:r>
    </w:p>
    <w:p w14:paraId="03825C08"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(Variazione ed interruzione dei servizi del </w:t>
      </w:r>
      <w:proofErr w:type="spellStart"/>
      <w:r w:rsidRPr="00B14814">
        <w:rPr>
          <w:rFonts w:ascii="Verdana" w:hAnsi="Verdana" w:cs="Tahoma"/>
          <w:b/>
          <w:kern w:val="2"/>
          <w:lang w:eastAsia="ar-SA"/>
        </w:rPr>
        <w:t>NoTI</w:t>
      </w:r>
      <w:proofErr w:type="spellEnd"/>
      <w:r w:rsidRPr="00B14814">
        <w:rPr>
          <w:rFonts w:ascii="Verdana" w:hAnsi="Verdana" w:cs="Tahoma"/>
          <w:b/>
          <w:kern w:val="2"/>
          <w:lang w:eastAsia="ar-SA"/>
        </w:rPr>
        <w:t>-ER)</w:t>
      </w:r>
    </w:p>
    <w:p w14:paraId="3B115335" w14:textId="77777777" w:rsidR="00B14814" w:rsidRPr="00B14814" w:rsidRDefault="00B14814" w:rsidP="006F05B5">
      <w:pPr>
        <w:widowControl/>
        <w:numPr>
          <w:ilvl w:val="0"/>
          <w:numId w:val="14"/>
        </w:numPr>
        <w:tabs>
          <w:tab w:val="left" w:pos="7920"/>
        </w:tabs>
        <w:suppressAutoHyphens/>
        <w:adjustRightInd/>
        <w:spacing w:line="360" w:lineRule="auto"/>
        <w:rPr>
          <w:rFonts w:ascii="Verdana" w:hAnsi="Verdana" w:cs="Tahoma"/>
          <w:kern w:val="2"/>
          <w:lang w:eastAsia="ar-SA"/>
        </w:rPr>
      </w:pPr>
      <w:proofErr w:type="gramStart"/>
      <w:r w:rsidRPr="00B14814">
        <w:rPr>
          <w:rFonts w:ascii="Verdana" w:hAnsi="Verdana" w:cs="Tahoma"/>
          <w:kern w:val="2"/>
          <w:lang w:eastAsia="ar-SA"/>
        </w:rPr>
        <w:t>E’</w:t>
      </w:r>
      <w:proofErr w:type="gramEnd"/>
      <w:r w:rsidRPr="00B14814">
        <w:rPr>
          <w:rFonts w:ascii="Verdana" w:hAnsi="Verdana" w:cs="Tahoma"/>
          <w:kern w:val="2"/>
          <w:lang w:eastAsia="ar-SA"/>
        </w:rPr>
        <w:t xml:space="preserve"> facoltà di Intercent-ER modificare o disattivare i servizi connessi a seguito di modifiche di legge e/o nuove tecnologie e modalità di uso dei servizi stessi, provvedendo alla relativa comunicazione all’Ente, secondo le modalità indicate nella sezione “Dematerializzazione acquisti” del sito internet di Intercent-ER.</w:t>
      </w:r>
    </w:p>
    <w:p w14:paraId="22B1E9DA" w14:textId="77777777" w:rsidR="00B14814" w:rsidRPr="00B14814" w:rsidRDefault="00B14814" w:rsidP="006F05B5">
      <w:pPr>
        <w:widowControl/>
        <w:numPr>
          <w:ilvl w:val="0"/>
          <w:numId w:val="14"/>
        </w:numPr>
        <w:tabs>
          <w:tab w:val="left" w:pos="7920"/>
        </w:tabs>
        <w:suppressAutoHyphens/>
        <w:adjustRightInd/>
        <w:spacing w:line="360" w:lineRule="auto"/>
        <w:rPr>
          <w:rFonts w:ascii="Verdana" w:hAnsi="Verdana" w:cs="Tahoma"/>
          <w:kern w:val="2"/>
          <w:lang w:eastAsia="ar-SA"/>
        </w:rPr>
      </w:pPr>
      <w:r w:rsidRPr="00B14814">
        <w:rPr>
          <w:rFonts w:ascii="Verdana" w:hAnsi="Verdana"/>
          <w:color w:val="000000"/>
          <w:kern w:val="2"/>
          <w:lang w:eastAsia="ar-SA"/>
        </w:rPr>
        <w:t xml:space="preserve">Intercent-ER potrà effettuare ogni tipo di intervento di manutenzione e di adeguamento sul sistema informatico, riservandosi il diritto di disattivare in qualsiasi momento i servizi del </w:t>
      </w:r>
      <w:proofErr w:type="spellStart"/>
      <w:r w:rsidRPr="00B14814">
        <w:rPr>
          <w:rFonts w:ascii="Verdana" w:hAnsi="Verdana"/>
          <w:color w:val="000000"/>
          <w:kern w:val="2"/>
          <w:lang w:eastAsia="ar-SA"/>
        </w:rPr>
        <w:t>NoTI</w:t>
      </w:r>
      <w:proofErr w:type="spellEnd"/>
      <w:r w:rsidRPr="00B14814">
        <w:rPr>
          <w:rFonts w:ascii="Verdana" w:hAnsi="Verdana"/>
          <w:color w:val="000000"/>
          <w:kern w:val="2"/>
          <w:lang w:eastAsia="ar-SA"/>
        </w:rPr>
        <w:t>-ER, per motivi tecnici, organizzativi, ovvero legati alla sicurezza del Sistema previa, ove possibile, comunicazione, senza che da ciò possa avanzarsi alcuna pretesa o richiesta derivante da tale provvedimento.</w:t>
      </w:r>
    </w:p>
    <w:p w14:paraId="1E65229E" w14:textId="77777777" w:rsidR="00B14814" w:rsidRPr="00B14814" w:rsidRDefault="00B14814" w:rsidP="006F05B5">
      <w:pPr>
        <w:widowControl/>
        <w:numPr>
          <w:ilvl w:val="0"/>
          <w:numId w:val="14"/>
        </w:numPr>
        <w:tabs>
          <w:tab w:val="left" w:pos="7920"/>
        </w:tabs>
        <w:suppressAutoHyphens/>
        <w:adjustRightInd/>
        <w:spacing w:line="360" w:lineRule="auto"/>
        <w:rPr>
          <w:rFonts w:ascii="Verdana" w:hAnsi="Verdana" w:cs="Tahoma"/>
          <w:kern w:val="2"/>
          <w:lang w:eastAsia="ar-SA"/>
        </w:rPr>
      </w:pPr>
      <w:r w:rsidRPr="00B14814">
        <w:rPr>
          <w:rFonts w:ascii="Verdana" w:hAnsi="Verdana"/>
          <w:color w:val="000000"/>
          <w:kern w:val="2"/>
          <w:lang w:eastAsia="ar-SA"/>
        </w:rPr>
        <w:t>Intercent-ER non sarà in alcun modo ritenuta responsabile per interruzioni del servizio dovute a caso fortuito, forza maggiore oppure a cause ad essa non imputabili.</w:t>
      </w:r>
    </w:p>
    <w:p w14:paraId="28EDD9BF" w14:textId="77777777" w:rsidR="00B14814" w:rsidRPr="00B14814" w:rsidRDefault="00B14814" w:rsidP="006F05B5">
      <w:pPr>
        <w:widowControl/>
        <w:suppressAutoHyphens/>
        <w:adjustRightInd/>
        <w:spacing w:line="360" w:lineRule="auto"/>
        <w:ind w:left="720"/>
        <w:rPr>
          <w:rFonts w:ascii="Verdana" w:eastAsia="Lucida Sans Unicode" w:hAnsi="Verdana" w:cs="Tahoma"/>
          <w:kern w:val="2"/>
          <w:lang w:eastAsia="ar-SA"/>
        </w:rPr>
      </w:pPr>
    </w:p>
    <w:p w14:paraId="47C73FC4" w14:textId="4014D08F"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1</w:t>
      </w:r>
      <w:r w:rsidR="00A5775E">
        <w:rPr>
          <w:rFonts w:ascii="Verdana" w:hAnsi="Verdana" w:cs="Tahoma"/>
          <w:b/>
          <w:kern w:val="2"/>
          <w:lang w:eastAsia="ar-SA"/>
        </w:rPr>
        <w:t>2</w:t>
      </w:r>
    </w:p>
    <w:p w14:paraId="41E611B4"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(Manleva)</w:t>
      </w:r>
    </w:p>
    <w:p w14:paraId="3241F584" w14:textId="77777777" w:rsidR="00B14814" w:rsidRPr="00B14814" w:rsidRDefault="00B14814" w:rsidP="006F05B5">
      <w:pPr>
        <w:widowControl/>
        <w:numPr>
          <w:ilvl w:val="0"/>
          <w:numId w:val="15"/>
        </w:numPr>
        <w:tabs>
          <w:tab w:val="left" w:pos="7920"/>
        </w:tabs>
        <w:suppressAutoHyphens/>
        <w:adjustRightInd/>
        <w:spacing w:line="360" w:lineRule="auto"/>
        <w:rPr>
          <w:rFonts w:ascii="Verdana" w:hAnsi="Verdana" w:cs="Tahoma"/>
          <w:kern w:val="2"/>
          <w:lang w:eastAsia="ar-SA"/>
        </w:rPr>
      </w:pPr>
      <w:r w:rsidRPr="00B14814">
        <w:rPr>
          <w:rFonts w:ascii="Verdana" w:hAnsi="Verdana"/>
          <w:color w:val="000000"/>
          <w:kern w:val="2"/>
          <w:lang w:eastAsia="ar-SA"/>
        </w:rPr>
        <w:t xml:space="preserve">L’Ente utilizzatore dei </w:t>
      </w:r>
      <w:r w:rsidRPr="00B14814">
        <w:rPr>
          <w:rFonts w:ascii="Verdana" w:hAnsi="Verdana"/>
          <w:kern w:val="2"/>
          <w:lang w:eastAsia="ar-SA"/>
        </w:rPr>
        <w:t xml:space="preserve">servizi </w:t>
      </w:r>
      <w:proofErr w:type="spellStart"/>
      <w:r w:rsidRPr="00B14814">
        <w:rPr>
          <w:rFonts w:ascii="Verdana" w:hAnsi="Verdana"/>
          <w:kern w:val="2"/>
          <w:lang w:eastAsia="ar-SA"/>
        </w:rPr>
        <w:t>NoTI</w:t>
      </w:r>
      <w:proofErr w:type="spellEnd"/>
      <w:r w:rsidRPr="00B14814">
        <w:rPr>
          <w:rFonts w:ascii="Verdana" w:hAnsi="Verdana"/>
          <w:kern w:val="2"/>
          <w:lang w:eastAsia="ar-SA"/>
        </w:rPr>
        <w:t>-ER</w:t>
      </w:r>
      <w:r w:rsidRPr="00B14814">
        <w:rPr>
          <w:rFonts w:ascii="Verdana" w:hAnsi="Verdana"/>
          <w:color w:val="000000"/>
          <w:kern w:val="2"/>
          <w:lang w:eastAsia="ar-SA"/>
        </w:rPr>
        <w:t xml:space="preserve"> si impegna a manlevare e a tenere indenne Intercent-ER, risarcendo qualunque pregiudizio, danno, costo e onere di qualsiasi natura, ivi comprese le eventuali spese legali, che dovessero essere sofferte dallo stesso Ente e/o da terzi a causa di violazioni degli articoli previsti in questo documento, di un utilizzo scorretto od improprio del Sistema o dalla violazione della normativa vigente.</w:t>
      </w:r>
    </w:p>
    <w:p w14:paraId="27749B9A" w14:textId="77777777" w:rsidR="00B14814" w:rsidRPr="00B14814" w:rsidRDefault="00B14814" w:rsidP="006F05B5">
      <w:pPr>
        <w:widowControl/>
        <w:suppressAutoHyphens/>
        <w:adjustRightInd/>
        <w:spacing w:line="360" w:lineRule="auto"/>
        <w:ind w:left="720"/>
        <w:jc w:val="center"/>
        <w:rPr>
          <w:rFonts w:ascii="Verdana" w:hAnsi="Verdana" w:cs="Tahoma"/>
          <w:kern w:val="2"/>
          <w:lang w:eastAsia="ar-SA"/>
        </w:rPr>
      </w:pPr>
    </w:p>
    <w:p w14:paraId="3F8223D5" w14:textId="68305329" w:rsidR="00B14814" w:rsidRPr="00B14814" w:rsidRDefault="00B14814" w:rsidP="000D35E6">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1</w:t>
      </w:r>
      <w:r w:rsidR="00A5775E">
        <w:rPr>
          <w:rFonts w:ascii="Verdana" w:hAnsi="Verdana" w:cs="Tahoma"/>
          <w:b/>
          <w:kern w:val="2"/>
          <w:lang w:eastAsia="ar-SA"/>
        </w:rPr>
        <w:t>3</w:t>
      </w:r>
    </w:p>
    <w:p w14:paraId="7EA587C1" w14:textId="77777777" w:rsidR="00B14814" w:rsidRPr="00B14814" w:rsidRDefault="00B14814" w:rsidP="000D35E6">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(Trattamento dei dati personali)</w:t>
      </w:r>
    </w:p>
    <w:p w14:paraId="50B6EF43" w14:textId="0B617BBB" w:rsidR="00623EB0" w:rsidRDefault="00B14814" w:rsidP="00623EB0">
      <w:pPr>
        <w:widowControl/>
        <w:numPr>
          <w:ilvl w:val="0"/>
          <w:numId w:val="16"/>
        </w:numPr>
        <w:tabs>
          <w:tab w:val="left" w:pos="10635"/>
        </w:tabs>
        <w:suppressAutoHyphens/>
        <w:adjustRightInd/>
        <w:spacing w:line="360" w:lineRule="auto"/>
        <w:rPr>
          <w:rFonts w:ascii="Verdana" w:hAnsi="Verdana" w:cs="Tahoma"/>
          <w:kern w:val="2"/>
          <w:lang w:eastAsia="ar-SA"/>
        </w:rPr>
      </w:pPr>
      <w:r w:rsidRPr="00B14814">
        <w:rPr>
          <w:rFonts w:ascii="Verdana" w:hAnsi="Verdana" w:cs="Tahoma"/>
          <w:kern w:val="2"/>
          <w:lang w:eastAsia="ar-SA"/>
        </w:rPr>
        <w:t>L'Ente è titolare del trattamento dei dati personali contenuti nei documenti dallo stesso prodotti, nominando Intercent-ER quale responsabile del trattamento dei dati personali necessari all’esecuzione del presente Accordo di Servizio e al compimento degli atti conseguenti.</w:t>
      </w:r>
    </w:p>
    <w:p w14:paraId="65A29C92" w14:textId="1B6A6EA4" w:rsidR="00623EB0" w:rsidRPr="00CB76F4" w:rsidRDefault="00623EB0" w:rsidP="00623EB0">
      <w:pPr>
        <w:widowControl/>
        <w:numPr>
          <w:ilvl w:val="0"/>
          <w:numId w:val="16"/>
        </w:numPr>
        <w:tabs>
          <w:tab w:val="left" w:pos="10635"/>
        </w:tabs>
        <w:suppressAutoHyphens/>
        <w:adjustRightInd/>
        <w:spacing w:line="360" w:lineRule="auto"/>
        <w:rPr>
          <w:rFonts w:ascii="Verdana" w:hAnsi="Verdana" w:cs="Tahoma"/>
          <w:kern w:val="2"/>
          <w:lang w:eastAsia="ar-SA"/>
        </w:rPr>
      </w:pPr>
      <w:r w:rsidRPr="00CB76F4">
        <w:rPr>
          <w:rFonts w:ascii="Verdana" w:hAnsi="Verdana" w:cs="Tahoma"/>
          <w:kern w:val="2"/>
          <w:lang w:eastAsia="ar-SA"/>
        </w:rPr>
        <w:t>Con specifico a</w:t>
      </w:r>
      <w:r w:rsidR="003F21DC">
        <w:rPr>
          <w:rFonts w:ascii="Verdana" w:hAnsi="Verdana" w:cs="Tahoma"/>
          <w:kern w:val="2"/>
          <w:lang w:eastAsia="ar-SA"/>
        </w:rPr>
        <w:t>tto</w:t>
      </w:r>
      <w:r w:rsidRPr="00CB76F4">
        <w:rPr>
          <w:rFonts w:ascii="Verdana" w:hAnsi="Verdana" w:cs="Tahoma"/>
          <w:kern w:val="2"/>
          <w:lang w:eastAsia="ar-SA"/>
        </w:rPr>
        <w:t xml:space="preserve"> allegato al presente Accordo l’Ente nomina Intercent-ER Responsabile del trattamento dei dati personali ai sensi degli artt. 4, n. 8) e 28 del Regolamento (UE) 2016/679.</w:t>
      </w:r>
    </w:p>
    <w:p w14:paraId="0E9C2002" w14:textId="77777777" w:rsidR="00B14814" w:rsidRPr="00B14814" w:rsidRDefault="00B14814" w:rsidP="006F05B5">
      <w:pPr>
        <w:widowControl/>
        <w:numPr>
          <w:ilvl w:val="0"/>
          <w:numId w:val="16"/>
        </w:numPr>
        <w:tabs>
          <w:tab w:val="left" w:pos="10635"/>
        </w:tabs>
        <w:suppressAutoHyphens/>
        <w:adjustRightInd/>
        <w:spacing w:line="360" w:lineRule="auto"/>
        <w:rPr>
          <w:rFonts w:ascii="Verdana" w:hAnsi="Verdana" w:cs="Tahoma"/>
          <w:kern w:val="2"/>
          <w:lang w:eastAsia="ar-SA"/>
        </w:rPr>
      </w:pPr>
      <w:r w:rsidRPr="00B14814">
        <w:rPr>
          <w:rFonts w:ascii="Verdana" w:hAnsi="Verdana" w:cs="Tahoma"/>
          <w:kern w:val="2"/>
          <w:lang w:eastAsia="ar-SA"/>
        </w:rPr>
        <w:t>Alla scadenza dell’Accordo di Servizio, nell’ipotesi di recesso di una delle parti ovvero al termine, per qualsivoglia causa, di validità dello stesso Accordo, la designazione a responsabile del trattamento dei dati personali decade automaticamente.</w:t>
      </w:r>
    </w:p>
    <w:p w14:paraId="1684A7EC" w14:textId="0AFCCFF9" w:rsidR="00B14814" w:rsidRPr="0015413F" w:rsidRDefault="00B14814" w:rsidP="006F05B5">
      <w:pPr>
        <w:widowControl/>
        <w:numPr>
          <w:ilvl w:val="0"/>
          <w:numId w:val="16"/>
        </w:numPr>
        <w:tabs>
          <w:tab w:val="left" w:pos="10635"/>
        </w:tabs>
        <w:suppressAutoHyphens/>
        <w:adjustRightInd/>
        <w:spacing w:line="360" w:lineRule="auto"/>
        <w:rPr>
          <w:rFonts w:ascii="Verdana" w:hAnsi="Verdana" w:cs="Tahoma"/>
          <w:kern w:val="2"/>
          <w:lang w:eastAsia="ar-SA"/>
        </w:rPr>
      </w:pPr>
      <w:r w:rsidRPr="00B14814">
        <w:rPr>
          <w:rFonts w:ascii="Verdana" w:hAnsi="Verdana" w:cs="Tahoma"/>
          <w:kern w:val="2"/>
          <w:lang w:eastAsia="ar-SA"/>
        </w:rPr>
        <w:lastRenderedPageBreak/>
        <w:t xml:space="preserve"> </w:t>
      </w:r>
      <w:bookmarkStart w:id="5" w:name="_Hlk511395561"/>
      <w:r w:rsidRPr="00B14814">
        <w:rPr>
          <w:rFonts w:ascii="Verdana" w:hAnsi="Verdana" w:cs="Tahoma"/>
          <w:kern w:val="2"/>
          <w:lang w:eastAsia="ar-SA"/>
        </w:rPr>
        <w:t xml:space="preserve">I documenti ricevuti e trasmessi per conto dell’Ente sono memorizzati sul sistema </w:t>
      </w:r>
      <w:proofErr w:type="spellStart"/>
      <w:r w:rsidRPr="00B14814">
        <w:rPr>
          <w:rFonts w:ascii="Verdana" w:hAnsi="Verdana" w:cs="Tahoma"/>
          <w:kern w:val="2"/>
          <w:lang w:eastAsia="ar-SA"/>
        </w:rPr>
        <w:t>NoTI</w:t>
      </w:r>
      <w:proofErr w:type="spellEnd"/>
      <w:r w:rsidRPr="00B14814">
        <w:rPr>
          <w:rFonts w:ascii="Verdana" w:hAnsi="Verdana" w:cs="Tahoma"/>
          <w:kern w:val="2"/>
          <w:lang w:eastAsia="ar-SA"/>
        </w:rPr>
        <w:t xml:space="preserve">-ER per un tempo non inferiori ai due anni dalla data di ricezione e comunque non prima </w:t>
      </w:r>
      <w:r w:rsidRPr="0015413F">
        <w:rPr>
          <w:rFonts w:ascii="Verdana" w:hAnsi="Verdana" w:cs="Tahoma"/>
          <w:kern w:val="2"/>
          <w:lang w:eastAsia="ar-SA"/>
        </w:rPr>
        <w:t xml:space="preserve">del loro versamento in conservazione sul sistema </w:t>
      </w:r>
      <w:proofErr w:type="spellStart"/>
      <w:r w:rsidRPr="0015413F">
        <w:rPr>
          <w:rFonts w:ascii="Verdana" w:hAnsi="Verdana" w:cs="Tahoma"/>
          <w:kern w:val="2"/>
          <w:lang w:eastAsia="ar-SA"/>
        </w:rPr>
        <w:t>ParER</w:t>
      </w:r>
      <w:proofErr w:type="spellEnd"/>
      <w:r w:rsidRPr="0015413F">
        <w:rPr>
          <w:rFonts w:ascii="Verdana" w:hAnsi="Verdana" w:cs="Tahoma"/>
          <w:kern w:val="2"/>
          <w:lang w:eastAsia="ar-SA"/>
        </w:rPr>
        <w:t>, laddove richiesto.</w:t>
      </w:r>
      <w:r w:rsidR="00816D6F" w:rsidRPr="0015413F">
        <w:rPr>
          <w:rFonts w:ascii="Verdana" w:hAnsi="Verdana" w:cs="Tahoma"/>
          <w:kern w:val="2"/>
          <w:lang w:eastAsia="ar-SA"/>
        </w:rPr>
        <w:t xml:space="preserve"> I documenti sono periodicamente cancellati dal sistema trascorsi </w:t>
      </w:r>
      <w:proofErr w:type="gramStart"/>
      <w:r w:rsidR="00816D6F" w:rsidRPr="0015413F">
        <w:rPr>
          <w:rFonts w:ascii="Verdana" w:hAnsi="Verdana" w:cs="Tahoma"/>
          <w:kern w:val="2"/>
          <w:lang w:eastAsia="ar-SA"/>
        </w:rPr>
        <w:t>3</w:t>
      </w:r>
      <w:proofErr w:type="gramEnd"/>
      <w:r w:rsidR="00816D6F" w:rsidRPr="0015413F">
        <w:rPr>
          <w:rFonts w:ascii="Verdana" w:hAnsi="Verdana" w:cs="Tahoma"/>
          <w:kern w:val="2"/>
          <w:lang w:eastAsia="ar-SA"/>
        </w:rPr>
        <w:t xml:space="preserve"> anni dalla data di ricezione documento su </w:t>
      </w:r>
      <w:proofErr w:type="spellStart"/>
      <w:r w:rsidR="00816D6F" w:rsidRPr="0015413F">
        <w:rPr>
          <w:rFonts w:ascii="Verdana" w:hAnsi="Verdana" w:cs="Tahoma"/>
          <w:kern w:val="2"/>
          <w:lang w:eastAsia="ar-SA"/>
        </w:rPr>
        <w:t>NoTI</w:t>
      </w:r>
      <w:proofErr w:type="spellEnd"/>
      <w:r w:rsidR="00816D6F" w:rsidRPr="0015413F">
        <w:rPr>
          <w:rFonts w:ascii="Verdana" w:hAnsi="Verdana" w:cs="Tahoma"/>
          <w:kern w:val="2"/>
          <w:lang w:eastAsia="ar-SA"/>
        </w:rPr>
        <w:t>-ER, salvo diversa specifica disposizione.</w:t>
      </w:r>
    </w:p>
    <w:bookmarkEnd w:id="5"/>
    <w:p w14:paraId="7A2ACF3D" w14:textId="77777777" w:rsidR="00B14814" w:rsidRPr="00CF2059" w:rsidRDefault="00B14814" w:rsidP="006F05B5">
      <w:pPr>
        <w:widowControl/>
        <w:numPr>
          <w:ilvl w:val="0"/>
          <w:numId w:val="16"/>
        </w:numPr>
        <w:tabs>
          <w:tab w:val="left" w:pos="10635"/>
        </w:tabs>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In ogni caso le parti si impegnano ad effettuare il </w:t>
      </w:r>
      <w:r w:rsidRPr="00B14814">
        <w:rPr>
          <w:rFonts w:ascii="Verdana" w:hAnsi="Verdana"/>
          <w:color w:val="000000"/>
          <w:kern w:val="2"/>
          <w:lang w:eastAsia="ar-SA"/>
        </w:rPr>
        <w:t>trattamento dei dati personali</w:t>
      </w:r>
      <w:r w:rsidRPr="00B14814">
        <w:rPr>
          <w:rFonts w:ascii="Verdana" w:hAnsi="Verdana"/>
          <w:color w:val="000000"/>
        </w:rPr>
        <w:t xml:space="preserve"> nel rispetto del Decreto Legislativo 196/2003 e successive modifiche e del Regolamento UE 2016/679.</w:t>
      </w:r>
      <w:r w:rsidRPr="00B14814">
        <w:t xml:space="preserve"> </w:t>
      </w:r>
    </w:p>
    <w:p w14:paraId="575D5470" w14:textId="77777777" w:rsidR="00B14814" w:rsidRPr="00B14814" w:rsidRDefault="00B14814" w:rsidP="006F05B5">
      <w:pPr>
        <w:widowControl/>
        <w:suppressAutoHyphens/>
        <w:adjustRightInd/>
        <w:spacing w:line="360" w:lineRule="auto"/>
        <w:jc w:val="center"/>
        <w:rPr>
          <w:rFonts w:ascii="Verdana" w:hAnsi="Verdana" w:cs="Tahoma"/>
          <w:b/>
          <w:kern w:val="2"/>
          <w:lang w:eastAsia="ar-SA"/>
        </w:rPr>
      </w:pPr>
    </w:p>
    <w:p w14:paraId="327D4180" w14:textId="2DCFCE61"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1</w:t>
      </w:r>
      <w:r w:rsidR="00A5775E">
        <w:rPr>
          <w:rFonts w:ascii="Verdana" w:hAnsi="Verdana" w:cs="Tahoma"/>
          <w:b/>
          <w:kern w:val="2"/>
          <w:lang w:eastAsia="ar-SA"/>
        </w:rPr>
        <w:t>4</w:t>
      </w:r>
    </w:p>
    <w:p w14:paraId="0A46AC29"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 xml:space="preserve">(Disposizioni di rinvio) </w:t>
      </w:r>
    </w:p>
    <w:p w14:paraId="54476082" w14:textId="77777777" w:rsidR="00B14814" w:rsidRPr="00B14814" w:rsidRDefault="00B14814" w:rsidP="006F05B5">
      <w:pPr>
        <w:widowControl/>
        <w:numPr>
          <w:ilvl w:val="0"/>
          <w:numId w:val="17"/>
        </w:numPr>
        <w:suppressAutoHyphens/>
        <w:adjustRightInd/>
        <w:spacing w:line="360" w:lineRule="auto"/>
        <w:rPr>
          <w:rFonts w:ascii="Verdana" w:hAnsi="Verdana" w:cs="Tahoma"/>
          <w:kern w:val="2"/>
          <w:lang w:eastAsia="ar-SA"/>
        </w:rPr>
      </w:pPr>
      <w:r w:rsidRPr="00B14814">
        <w:rPr>
          <w:rFonts w:ascii="Verdana" w:hAnsi="Verdana" w:cs="Tahoma"/>
          <w:kern w:val="2"/>
          <w:lang w:eastAsia="ar-SA"/>
        </w:rPr>
        <w:t xml:space="preserve">Per quanto non previsto nel presente Accordo di Servizio, potrà rinviarsi alle norme del </w:t>
      </w:r>
      <w:proofErr w:type="gramStart"/>
      <w:r w:rsidRPr="00B14814">
        <w:rPr>
          <w:rFonts w:ascii="Verdana" w:hAnsi="Verdana" w:cs="Tahoma"/>
          <w:kern w:val="2"/>
          <w:lang w:eastAsia="ar-SA"/>
        </w:rPr>
        <w:t>codice civile</w:t>
      </w:r>
      <w:proofErr w:type="gramEnd"/>
      <w:r w:rsidRPr="00B14814">
        <w:rPr>
          <w:rFonts w:ascii="Verdana" w:hAnsi="Verdana" w:cs="Tahoma"/>
          <w:kern w:val="2"/>
          <w:lang w:eastAsia="ar-SA"/>
        </w:rPr>
        <w:t xml:space="preserve"> applicabili e alle specifiche normative vigenti nelle materie in oggetto.</w:t>
      </w:r>
    </w:p>
    <w:p w14:paraId="514E3D3B" w14:textId="77777777" w:rsidR="00B14814" w:rsidRPr="00B14814" w:rsidRDefault="00B14814" w:rsidP="006F05B5">
      <w:pPr>
        <w:widowControl/>
        <w:suppressAutoHyphens/>
        <w:adjustRightInd/>
        <w:spacing w:line="360" w:lineRule="auto"/>
        <w:jc w:val="left"/>
        <w:rPr>
          <w:rFonts w:ascii="Verdana" w:hAnsi="Verdana" w:cs="Tahoma"/>
          <w:kern w:val="2"/>
          <w:lang w:eastAsia="ar-SA"/>
        </w:rPr>
      </w:pPr>
    </w:p>
    <w:p w14:paraId="418FF0C0" w14:textId="197ACB5F"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Art. 1</w:t>
      </w:r>
      <w:r w:rsidR="00A5775E">
        <w:rPr>
          <w:rFonts w:ascii="Verdana" w:hAnsi="Verdana" w:cs="Tahoma"/>
          <w:b/>
          <w:kern w:val="2"/>
          <w:lang w:eastAsia="ar-SA"/>
        </w:rPr>
        <w:t>5</w:t>
      </w:r>
    </w:p>
    <w:p w14:paraId="4A13DA4E" w14:textId="77777777" w:rsidR="00B14814" w:rsidRPr="00B14814" w:rsidRDefault="00B14814" w:rsidP="00D0299C">
      <w:pPr>
        <w:keepNext/>
        <w:widowControl/>
        <w:suppressAutoHyphens/>
        <w:adjustRightInd/>
        <w:spacing w:line="360" w:lineRule="auto"/>
        <w:jc w:val="center"/>
        <w:rPr>
          <w:rFonts w:ascii="Verdana" w:hAnsi="Verdana" w:cs="Tahoma"/>
          <w:b/>
          <w:kern w:val="2"/>
          <w:lang w:eastAsia="ar-SA"/>
        </w:rPr>
      </w:pPr>
      <w:r w:rsidRPr="00B14814">
        <w:rPr>
          <w:rFonts w:ascii="Verdana" w:hAnsi="Verdana" w:cs="Tahoma"/>
          <w:b/>
          <w:kern w:val="2"/>
          <w:lang w:eastAsia="ar-SA"/>
        </w:rPr>
        <w:t>(Foro competente)</w:t>
      </w:r>
    </w:p>
    <w:p w14:paraId="76AAB308" w14:textId="77777777" w:rsidR="00B14814" w:rsidRPr="00B14814" w:rsidRDefault="00B14814" w:rsidP="006F05B5">
      <w:pPr>
        <w:widowControl/>
        <w:numPr>
          <w:ilvl w:val="0"/>
          <w:numId w:val="18"/>
        </w:numPr>
        <w:suppressAutoHyphens/>
        <w:adjustRightInd/>
        <w:spacing w:after="120" w:line="360" w:lineRule="auto"/>
        <w:ind w:right="-1"/>
        <w:rPr>
          <w:rFonts w:ascii="Verdana" w:hAnsi="Verdana"/>
          <w:kern w:val="2"/>
          <w:lang w:eastAsia="ar-SA"/>
        </w:rPr>
      </w:pPr>
      <w:r w:rsidRPr="00B14814">
        <w:rPr>
          <w:rFonts w:ascii="Verdana" w:hAnsi="Verdana"/>
          <w:kern w:val="2"/>
          <w:lang w:eastAsia="ar-SA"/>
        </w:rPr>
        <w:t>Per qualsivoglia controversia dovesse insorgere in merito al presente Accordo ed alle eventuali modifiche, sarà competente il Foro di Bologna in via esclusiva.</w:t>
      </w:r>
    </w:p>
    <w:p w14:paraId="47D40E8B" w14:textId="77777777" w:rsidR="00B14814" w:rsidRPr="00B14814" w:rsidRDefault="00B14814" w:rsidP="006F05B5">
      <w:pPr>
        <w:widowControl/>
        <w:suppressAutoHyphens/>
        <w:adjustRightInd/>
        <w:spacing w:after="120" w:line="360" w:lineRule="auto"/>
        <w:ind w:right="-1"/>
        <w:rPr>
          <w:rFonts w:ascii="Verdana" w:hAnsi="Verdana"/>
          <w:kern w:val="2"/>
          <w:sz w:val="24"/>
          <w:szCs w:val="24"/>
          <w:lang w:eastAsia="ar-SA"/>
        </w:rPr>
      </w:pPr>
    </w:p>
    <w:tbl>
      <w:tblPr>
        <w:tblW w:w="0" w:type="auto"/>
        <w:tblLook w:val="04A0" w:firstRow="1" w:lastRow="0" w:firstColumn="1" w:lastColumn="0" w:noHBand="0" w:noVBand="1"/>
      </w:tblPr>
      <w:tblGrid>
        <w:gridCol w:w="4338"/>
        <w:gridCol w:w="4338"/>
      </w:tblGrid>
      <w:tr w:rsidR="00B14814" w:rsidRPr="009C624D" w14:paraId="33FC73B8" w14:textId="77777777" w:rsidTr="00BE1289">
        <w:trPr>
          <w:trHeight w:val="1701"/>
        </w:trPr>
        <w:tc>
          <w:tcPr>
            <w:tcW w:w="4338" w:type="dxa"/>
          </w:tcPr>
          <w:p w14:paraId="2D3ED7BE" w14:textId="77777777" w:rsidR="00B14814" w:rsidRPr="00B14814" w:rsidRDefault="00B14814" w:rsidP="006F05B5">
            <w:pPr>
              <w:adjustRightInd/>
              <w:snapToGrid w:val="0"/>
              <w:spacing w:before="120" w:after="120" w:line="360" w:lineRule="auto"/>
              <w:jc w:val="center"/>
              <w:rPr>
                <w:rFonts w:ascii="Verdana" w:hAnsi="Verdana" w:cs="Courier New"/>
                <w:b/>
              </w:rPr>
            </w:pPr>
            <w:r w:rsidRPr="00B14814">
              <w:rPr>
                <w:rFonts w:ascii="Verdana" w:hAnsi="Verdana" w:cs="Courier New"/>
                <w:b/>
              </w:rPr>
              <w:t>PER INTERCENT-ER</w:t>
            </w:r>
          </w:p>
          <w:p w14:paraId="6FBC77F0" w14:textId="6F81E362" w:rsidR="00E1357A" w:rsidRDefault="00E1357A" w:rsidP="00E1357A">
            <w:pPr>
              <w:adjustRightInd/>
              <w:snapToGrid w:val="0"/>
              <w:spacing w:before="120" w:after="120" w:line="360" w:lineRule="auto"/>
              <w:rPr>
                <w:rFonts w:ascii="Verdana" w:hAnsi="Verdana" w:cs="Courier New"/>
                <w:b/>
              </w:rPr>
            </w:pPr>
            <w:r>
              <w:rPr>
                <w:rFonts w:ascii="Verdana" w:hAnsi="Verdana" w:cs="Courier New"/>
                <w:b/>
              </w:rPr>
              <w:t xml:space="preserve">                   La</w:t>
            </w:r>
            <w:r w:rsidR="00020113">
              <w:rPr>
                <w:rFonts w:ascii="Verdana" w:hAnsi="Verdana" w:cs="Courier New"/>
                <w:b/>
              </w:rPr>
              <w:t xml:space="preserve"> </w:t>
            </w:r>
            <w:r w:rsidR="009C624D" w:rsidRPr="0015413F">
              <w:rPr>
                <w:rFonts w:ascii="Verdana" w:hAnsi="Verdana" w:cs="Courier New"/>
                <w:b/>
              </w:rPr>
              <w:t>Dirett</w:t>
            </w:r>
            <w:r>
              <w:rPr>
                <w:rFonts w:ascii="Verdana" w:hAnsi="Verdana" w:cs="Courier New"/>
                <w:b/>
              </w:rPr>
              <w:t>rice</w:t>
            </w:r>
            <w:r w:rsidR="009C624D" w:rsidRPr="0015413F">
              <w:rPr>
                <w:rFonts w:ascii="Verdana" w:hAnsi="Verdana" w:cs="Courier New"/>
                <w:b/>
              </w:rPr>
              <w:t xml:space="preserve"> </w:t>
            </w:r>
          </w:p>
          <w:p w14:paraId="72E165CB" w14:textId="0C13D292" w:rsidR="00B14814" w:rsidRPr="00B14814" w:rsidRDefault="00E1357A" w:rsidP="00E1357A">
            <w:pPr>
              <w:adjustRightInd/>
              <w:snapToGrid w:val="0"/>
              <w:spacing w:before="120" w:after="120" w:line="360" w:lineRule="auto"/>
              <w:rPr>
                <w:rFonts w:ascii="Verdana" w:hAnsi="Verdana" w:cs="Courier New"/>
                <w:b/>
              </w:rPr>
            </w:pPr>
            <w:r>
              <w:rPr>
                <w:rFonts w:ascii="Verdana" w:hAnsi="Verdana" w:cs="Courier New"/>
                <w:b/>
              </w:rPr>
              <w:t xml:space="preserve">         Dott.ssa Sabrina Amerio</w:t>
            </w:r>
          </w:p>
        </w:tc>
        <w:tc>
          <w:tcPr>
            <w:tcW w:w="4338" w:type="dxa"/>
            <w:hideMark/>
          </w:tcPr>
          <w:p w14:paraId="4C0B178E" w14:textId="77777777" w:rsidR="00B14814" w:rsidRPr="00B14814" w:rsidRDefault="00B14814" w:rsidP="006F05B5">
            <w:pPr>
              <w:adjustRightInd/>
              <w:snapToGrid w:val="0"/>
              <w:spacing w:before="120" w:after="120" w:line="360" w:lineRule="auto"/>
              <w:jc w:val="center"/>
              <w:rPr>
                <w:rFonts w:ascii="Verdana" w:hAnsi="Verdana" w:cs="Courier New"/>
                <w:b/>
              </w:rPr>
            </w:pPr>
            <w:r w:rsidRPr="00B14814">
              <w:rPr>
                <w:rFonts w:ascii="Verdana" w:hAnsi="Verdana" w:cs="Courier New"/>
                <w:b/>
              </w:rPr>
              <w:t>PER L’ENTE</w:t>
            </w:r>
          </w:p>
          <w:p w14:paraId="7CA64D95" w14:textId="77777777" w:rsidR="00A23D63" w:rsidRDefault="00A23D63" w:rsidP="006F05B5">
            <w:pPr>
              <w:adjustRightInd/>
              <w:snapToGrid w:val="0"/>
              <w:spacing w:before="120" w:after="120" w:line="360" w:lineRule="auto"/>
              <w:jc w:val="center"/>
              <w:rPr>
                <w:rFonts w:ascii="Verdana" w:hAnsi="Verdana" w:cs="Courier New"/>
                <w:b/>
              </w:rPr>
            </w:pPr>
          </w:p>
          <w:p w14:paraId="136FC66A" w14:textId="49321E24" w:rsidR="00B14814" w:rsidRPr="00B14814" w:rsidRDefault="00B14814" w:rsidP="006F05B5">
            <w:pPr>
              <w:adjustRightInd/>
              <w:snapToGrid w:val="0"/>
              <w:spacing w:before="120" w:after="120" w:line="360" w:lineRule="auto"/>
              <w:jc w:val="center"/>
              <w:rPr>
                <w:rFonts w:ascii="Verdana" w:hAnsi="Verdana" w:cs="Courier New"/>
                <w:b/>
              </w:rPr>
            </w:pPr>
            <w:r w:rsidRPr="00B14814">
              <w:rPr>
                <w:rFonts w:ascii="Verdana" w:hAnsi="Verdana" w:cs="Courier New"/>
                <w:b/>
              </w:rPr>
              <w:t xml:space="preserve">Dott. </w:t>
            </w:r>
            <w:r w:rsidR="00A23D63">
              <w:rPr>
                <w:rFonts w:ascii="Verdana" w:hAnsi="Verdana" w:cs="Courier New"/>
                <w:b/>
              </w:rPr>
              <w:t xml:space="preserve">    </w:t>
            </w:r>
            <w:r w:rsidR="00BE1289">
              <w:rPr>
                <w:rFonts w:ascii="Verdana" w:hAnsi="Verdana" w:cs="Courier New"/>
                <w:b/>
              </w:rPr>
              <w:t>________________</w:t>
            </w:r>
          </w:p>
          <w:p w14:paraId="421B7FA3" w14:textId="0CB71524" w:rsidR="00B14814" w:rsidRPr="00B14814" w:rsidRDefault="00B14814" w:rsidP="006F05B5">
            <w:pPr>
              <w:adjustRightInd/>
              <w:snapToGrid w:val="0"/>
              <w:spacing w:before="120" w:after="120" w:line="360" w:lineRule="auto"/>
              <w:jc w:val="center"/>
              <w:rPr>
                <w:rFonts w:ascii="Verdana" w:hAnsi="Verdana" w:cs="Courier New"/>
                <w:b/>
              </w:rPr>
            </w:pPr>
          </w:p>
        </w:tc>
      </w:tr>
    </w:tbl>
    <w:p w14:paraId="218AE613" w14:textId="6F7ADB2F" w:rsidR="00597DE4" w:rsidRPr="000D35E6" w:rsidRDefault="00E1357A" w:rsidP="000D35E6">
      <w:pPr>
        <w:adjustRightInd/>
        <w:snapToGrid w:val="0"/>
        <w:spacing w:before="120" w:after="120" w:line="360" w:lineRule="auto"/>
        <w:jc w:val="center"/>
        <w:rPr>
          <w:rFonts w:ascii="Verdana" w:hAnsi="Verdana" w:cs="Courier New"/>
          <w:b/>
          <w:i/>
        </w:rPr>
      </w:pPr>
      <w:r>
        <w:rPr>
          <w:rFonts w:ascii="Verdana" w:hAnsi="Verdana" w:cs="Courier New"/>
          <w:b/>
          <w:i/>
        </w:rPr>
        <w:t xml:space="preserve">    </w:t>
      </w:r>
      <w:r w:rsidR="00B14814" w:rsidRPr="00B14814">
        <w:rPr>
          <w:rFonts w:ascii="Verdana" w:hAnsi="Verdana" w:cs="Courier New"/>
          <w:b/>
          <w:i/>
        </w:rPr>
        <w:t>(firmato digitalmente)</w:t>
      </w:r>
      <w:r w:rsidR="00B14814" w:rsidRPr="00B14814">
        <w:rPr>
          <w:rFonts w:ascii="Verdana" w:hAnsi="Verdana" w:cs="Courier New"/>
          <w:b/>
          <w:i/>
        </w:rPr>
        <w:tab/>
      </w:r>
      <w:r w:rsidR="00B14814" w:rsidRPr="00B14814">
        <w:rPr>
          <w:rFonts w:ascii="Verdana" w:hAnsi="Verdana" w:cs="Courier New"/>
          <w:b/>
          <w:i/>
        </w:rPr>
        <w:tab/>
      </w:r>
      <w:r w:rsidR="00B14814" w:rsidRPr="00B14814">
        <w:rPr>
          <w:rFonts w:ascii="Verdana" w:hAnsi="Verdana" w:cs="Courier New"/>
          <w:b/>
          <w:i/>
        </w:rPr>
        <w:tab/>
      </w:r>
      <w:r w:rsidR="00B14814" w:rsidRPr="00B14814">
        <w:rPr>
          <w:rFonts w:ascii="Verdana" w:hAnsi="Verdana" w:cs="Courier New"/>
          <w:b/>
          <w:i/>
        </w:rPr>
        <w:tab/>
        <w:t>(firmato digitalmente)</w:t>
      </w:r>
    </w:p>
    <w:sectPr w:rsidR="00597DE4" w:rsidRPr="000D35E6" w:rsidSect="005946D2">
      <w:pgSz w:w="11906" w:h="16838"/>
      <w:pgMar w:top="1417" w:right="1646"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3F86F" w14:textId="77777777" w:rsidR="00282F6D" w:rsidRDefault="00282F6D" w:rsidP="00F84D82">
      <w:pPr>
        <w:spacing w:line="240" w:lineRule="auto"/>
      </w:pPr>
      <w:r>
        <w:separator/>
      </w:r>
    </w:p>
  </w:endnote>
  <w:endnote w:type="continuationSeparator" w:id="0">
    <w:p w14:paraId="0141F497" w14:textId="77777777" w:rsidR="00282F6D" w:rsidRDefault="00282F6D" w:rsidP="00F84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2242" w14:textId="77777777" w:rsidR="00282F6D" w:rsidRDefault="00282F6D" w:rsidP="00F84D82">
      <w:pPr>
        <w:spacing w:line="240" w:lineRule="auto"/>
      </w:pPr>
      <w:r>
        <w:separator/>
      </w:r>
    </w:p>
  </w:footnote>
  <w:footnote w:type="continuationSeparator" w:id="0">
    <w:p w14:paraId="25D252FA" w14:textId="77777777" w:rsidR="00282F6D" w:rsidRDefault="00282F6D" w:rsidP="00F84D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name w:val="WW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E"/>
    <w:multiLevelType w:val="multilevel"/>
    <w:tmpl w:val="0000000E"/>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2"/>
    <w:multiLevelType w:val="multilevel"/>
    <w:tmpl w:val="00000012"/>
    <w:name w:val="WW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79630CB"/>
    <w:multiLevelType w:val="multilevel"/>
    <w:tmpl w:val="418AA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8292A91"/>
    <w:multiLevelType w:val="multilevel"/>
    <w:tmpl w:val="8C4813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E4B7B6D"/>
    <w:multiLevelType w:val="multilevel"/>
    <w:tmpl w:val="85629008"/>
    <w:name w:val="WWNum1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143C6FCE"/>
    <w:multiLevelType w:val="multilevel"/>
    <w:tmpl w:val="A12226C8"/>
    <w:name w:val="WWNum1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1C192782"/>
    <w:multiLevelType w:val="multilevel"/>
    <w:tmpl w:val="42DEB0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27E23522"/>
    <w:multiLevelType w:val="multilevel"/>
    <w:tmpl w:val="2B84E6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2B5357E5"/>
    <w:multiLevelType w:val="multilevel"/>
    <w:tmpl w:val="6ABE59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2F883F11"/>
    <w:multiLevelType w:val="multilevel"/>
    <w:tmpl w:val="9454F340"/>
    <w:name w:val="WWNum13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03E7417"/>
    <w:multiLevelType w:val="hybridMultilevel"/>
    <w:tmpl w:val="2828FE3E"/>
    <w:lvl w:ilvl="0" w:tplc="3C4A73AE">
      <w:start w:val="1"/>
      <w:numFmt w:val="decimal"/>
      <w:lvlText w:val="%1."/>
      <w:lvlJc w:val="left"/>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42C3F"/>
    <w:multiLevelType w:val="multilevel"/>
    <w:tmpl w:val="6ABE59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6C342A"/>
    <w:multiLevelType w:val="multilevel"/>
    <w:tmpl w:val="0000000B"/>
    <w:name w:val="WWNum1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D2F6320"/>
    <w:multiLevelType w:val="multilevel"/>
    <w:tmpl w:val="1512D7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4AFE33A4"/>
    <w:multiLevelType w:val="multilevel"/>
    <w:tmpl w:val="99C20F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6BCC372C"/>
    <w:multiLevelType w:val="multilevel"/>
    <w:tmpl w:val="246CC316"/>
    <w:name w:val="WWNum1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6C7E61FF"/>
    <w:multiLevelType w:val="multilevel"/>
    <w:tmpl w:val="5352E6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70F54249"/>
    <w:multiLevelType w:val="multilevel"/>
    <w:tmpl w:val="1512D7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715510F7"/>
    <w:multiLevelType w:val="multilevel"/>
    <w:tmpl w:val="F4C259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756C03C2"/>
    <w:multiLevelType w:val="multilevel"/>
    <w:tmpl w:val="C9DED1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6D80328"/>
    <w:multiLevelType w:val="multilevel"/>
    <w:tmpl w:val="1AE4E13A"/>
    <w:name w:val="WW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7A347AEE"/>
    <w:multiLevelType w:val="multilevel"/>
    <w:tmpl w:val="6ABE59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7DAF053C"/>
    <w:multiLevelType w:val="multilevel"/>
    <w:tmpl w:val="99C20F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427651476">
    <w:abstractNumId w:val="0"/>
  </w:num>
  <w:num w:numId="2" w16cid:durableId="1734431283">
    <w:abstractNumId w:val="4"/>
  </w:num>
  <w:num w:numId="3" w16cid:durableId="246153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636036">
    <w:abstractNumId w:val="9"/>
  </w:num>
  <w:num w:numId="5" w16cid:durableId="763184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0538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7562799">
    <w:abstractNumId w:val="1"/>
  </w:num>
  <w:num w:numId="8" w16cid:durableId="356928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441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44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491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799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189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77569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2550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6009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2061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723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28101">
    <w:abstractNumId w:val="28"/>
  </w:num>
  <w:num w:numId="20" w16cid:durableId="11154404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7997161">
    <w:abstractNumId w:val="19"/>
  </w:num>
  <w:num w:numId="22" w16cid:durableId="617102690">
    <w:abstractNumId w:val="15"/>
  </w:num>
  <w:num w:numId="23" w16cid:durableId="702948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1C56"/>
    <w:rsid w:val="00000988"/>
    <w:rsid w:val="000044D8"/>
    <w:rsid w:val="000105EF"/>
    <w:rsid w:val="000160CC"/>
    <w:rsid w:val="00020113"/>
    <w:rsid w:val="00024051"/>
    <w:rsid w:val="000404EC"/>
    <w:rsid w:val="00045398"/>
    <w:rsid w:val="0005110B"/>
    <w:rsid w:val="00051855"/>
    <w:rsid w:val="00052F31"/>
    <w:rsid w:val="00056F2D"/>
    <w:rsid w:val="000736FF"/>
    <w:rsid w:val="000832E9"/>
    <w:rsid w:val="0009031E"/>
    <w:rsid w:val="00093F84"/>
    <w:rsid w:val="00096237"/>
    <w:rsid w:val="000B11CB"/>
    <w:rsid w:val="000B1DED"/>
    <w:rsid w:val="000B307B"/>
    <w:rsid w:val="000C0A1F"/>
    <w:rsid w:val="000C667D"/>
    <w:rsid w:val="000C767D"/>
    <w:rsid w:val="000C7EEB"/>
    <w:rsid w:val="000D35E6"/>
    <w:rsid w:val="000D4AD3"/>
    <w:rsid w:val="000D4FFD"/>
    <w:rsid w:val="000E192E"/>
    <w:rsid w:val="000E7822"/>
    <w:rsid w:val="000F5363"/>
    <w:rsid w:val="00102AFA"/>
    <w:rsid w:val="00106EEF"/>
    <w:rsid w:val="00107CC4"/>
    <w:rsid w:val="00115C05"/>
    <w:rsid w:val="00116692"/>
    <w:rsid w:val="001216C5"/>
    <w:rsid w:val="00134520"/>
    <w:rsid w:val="00151009"/>
    <w:rsid w:val="0015413F"/>
    <w:rsid w:val="00156AD7"/>
    <w:rsid w:val="00164270"/>
    <w:rsid w:val="0016724E"/>
    <w:rsid w:val="001757D1"/>
    <w:rsid w:val="00175913"/>
    <w:rsid w:val="00180E20"/>
    <w:rsid w:val="001946BE"/>
    <w:rsid w:val="001A5800"/>
    <w:rsid w:val="001B2C44"/>
    <w:rsid w:val="001B45C0"/>
    <w:rsid w:val="001B48F8"/>
    <w:rsid w:val="001D7B57"/>
    <w:rsid w:val="001E7940"/>
    <w:rsid w:val="001F023C"/>
    <w:rsid w:val="001F188C"/>
    <w:rsid w:val="002005F6"/>
    <w:rsid w:val="002041ED"/>
    <w:rsid w:val="00210761"/>
    <w:rsid w:val="00214268"/>
    <w:rsid w:val="002162F5"/>
    <w:rsid w:val="00224D1C"/>
    <w:rsid w:val="002254B9"/>
    <w:rsid w:val="00232C2B"/>
    <w:rsid w:val="0024019C"/>
    <w:rsid w:val="0024073B"/>
    <w:rsid w:val="00243917"/>
    <w:rsid w:val="00255164"/>
    <w:rsid w:val="00257CE0"/>
    <w:rsid w:val="00282F6D"/>
    <w:rsid w:val="00294018"/>
    <w:rsid w:val="00295DE6"/>
    <w:rsid w:val="0029645B"/>
    <w:rsid w:val="002A4176"/>
    <w:rsid w:val="002A7AA0"/>
    <w:rsid w:val="002C548C"/>
    <w:rsid w:val="002C6079"/>
    <w:rsid w:val="002C6DF0"/>
    <w:rsid w:val="002D0BDC"/>
    <w:rsid w:val="002D4BBA"/>
    <w:rsid w:val="002E6B15"/>
    <w:rsid w:val="00305316"/>
    <w:rsid w:val="00327CC0"/>
    <w:rsid w:val="00331A2C"/>
    <w:rsid w:val="0034060E"/>
    <w:rsid w:val="00340E62"/>
    <w:rsid w:val="0034745E"/>
    <w:rsid w:val="00356DA1"/>
    <w:rsid w:val="00363CB3"/>
    <w:rsid w:val="003817E5"/>
    <w:rsid w:val="00392F5D"/>
    <w:rsid w:val="003A3B10"/>
    <w:rsid w:val="003A5BB8"/>
    <w:rsid w:val="003A63FB"/>
    <w:rsid w:val="003E19B3"/>
    <w:rsid w:val="003E3681"/>
    <w:rsid w:val="003E7310"/>
    <w:rsid w:val="003F0047"/>
    <w:rsid w:val="003F21DC"/>
    <w:rsid w:val="00411745"/>
    <w:rsid w:val="004142F3"/>
    <w:rsid w:val="004201E1"/>
    <w:rsid w:val="004250A4"/>
    <w:rsid w:val="00434DF3"/>
    <w:rsid w:val="00445761"/>
    <w:rsid w:val="00460603"/>
    <w:rsid w:val="00467568"/>
    <w:rsid w:val="004779B9"/>
    <w:rsid w:val="004802FB"/>
    <w:rsid w:val="0048168E"/>
    <w:rsid w:val="00485D78"/>
    <w:rsid w:val="004866D2"/>
    <w:rsid w:val="00491EA1"/>
    <w:rsid w:val="004A056B"/>
    <w:rsid w:val="004A2C47"/>
    <w:rsid w:val="004B1550"/>
    <w:rsid w:val="004B2005"/>
    <w:rsid w:val="004B5BCA"/>
    <w:rsid w:val="004B70DB"/>
    <w:rsid w:val="004C07BB"/>
    <w:rsid w:val="004C107D"/>
    <w:rsid w:val="004C6E01"/>
    <w:rsid w:val="004D57FE"/>
    <w:rsid w:val="004E168B"/>
    <w:rsid w:val="004F2E47"/>
    <w:rsid w:val="00512C6B"/>
    <w:rsid w:val="00514410"/>
    <w:rsid w:val="00517A52"/>
    <w:rsid w:val="0052106E"/>
    <w:rsid w:val="0052646D"/>
    <w:rsid w:val="00533348"/>
    <w:rsid w:val="0053439C"/>
    <w:rsid w:val="00537A4F"/>
    <w:rsid w:val="00540AE7"/>
    <w:rsid w:val="005421BA"/>
    <w:rsid w:val="00547E90"/>
    <w:rsid w:val="0056515F"/>
    <w:rsid w:val="00565A32"/>
    <w:rsid w:val="0057436F"/>
    <w:rsid w:val="00575FA1"/>
    <w:rsid w:val="00590F24"/>
    <w:rsid w:val="005946D2"/>
    <w:rsid w:val="00597DE4"/>
    <w:rsid w:val="005A0301"/>
    <w:rsid w:val="005B2135"/>
    <w:rsid w:val="005B3782"/>
    <w:rsid w:val="005B72EC"/>
    <w:rsid w:val="005C0B04"/>
    <w:rsid w:val="005C3ADD"/>
    <w:rsid w:val="005D4425"/>
    <w:rsid w:val="005E2D60"/>
    <w:rsid w:val="005E4CC7"/>
    <w:rsid w:val="005F50C8"/>
    <w:rsid w:val="00605C8D"/>
    <w:rsid w:val="00623EB0"/>
    <w:rsid w:val="00627709"/>
    <w:rsid w:val="006316A8"/>
    <w:rsid w:val="00633976"/>
    <w:rsid w:val="00634C7D"/>
    <w:rsid w:val="00637445"/>
    <w:rsid w:val="0064515D"/>
    <w:rsid w:val="00646F2C"/>
    <w:rsid w:val="0064720E"/>
    <w:rsid w:val="00647796"/>
    <w:rsid w:val="00660C23"/>
    <w:rsid w:val="00665F03"/>
    <w:rsid w:val="00670AEF"/>
    <w:rsid w:val="006743E7"/>
    <w:rsid w:val="00680589"/>
    <w:rsid w:val="00680AB5"/>
    <w:rsid w:val="00680B4E"/>
    <w:rsid w:val="0068469C"/>
    <w:rsid w:val="0068534D"/>
    <w:rsid w:val="0068555B"/>
    <w:rsid w:val="006937D4"/>
    <w:rsid w:val="006A058A"/>
    <w:rsid w:val="006A4BBD"/>
    <w:rsid w:val="006B7C14"/>
    <w:rsid w:val="006C2DD1"/>
    <w:rsid w:val="006C38E7"/>
    <w:rsid w:val="006C5040"/>
    <w:rsid w:val="006C69CE"/>
    <w:rsid w:val="006D6B8E"/>
    <w:rsid w:val="006D733F"/>
    <w:rsid w:val="006E533F"/>
    <w:rsid w:val="006F05B5"/>
    <w:rsid w:val="006F2F8A"/>
    <w:rsid w:val="0072752C"/>
    <w:rsid w:val="00727BC6"/>
    <w:rsid w:val="007354ED"/>
    <w:rsid w:val="00737C38"/>
    <w:rsid w:val="007401D5"/>
    <w:rsid w:val="00743201"/>
    <w:rsid w:val="007437E3"/>
    <w:rsid w:val="00745BC3"/>
    <w:rsid w:val="00750DB3"/>
    <w:rsid w:val="0075622C"/>
    <w:rsid w:val="0076404C"/>
    <w:rsid w:val="007652FF"/>
    <w:rsid w:val="00771885"/>
    <w:rsid w:val="007732CD"/>
    <w:rsid w:val="00783E25"/>
    <w:rsid w:val="0078644D"/>
    <w:rsid w:val="00793424"/>
    <w:rsid w:val="007964B6"/>
    <w:rsid w:val="0079709C"/>
    <w:rsid w:val="00797E14"/>
    <w:rsid w:val="007A26BB"/>
    <w:rsid w:val="007B7E80"/>
    <w:rsid w:val="007C4885"/>
    <w:rsid w:val="007C7890"/>
    <w:rsid w:val="007D2935"/>
    <w:rsid w:val="007D3E82"/>
    <w:rsid w:val="007D4347"/>
    <w:rsid w:val="007E7B7B"/>
    <w:rsid w:val="007E7ED3"/>
    <w:rsid w:val="007F0ECB"/>
    <w:rsid w:val="007F6901"/>
    <w:rsid w:val="00801911"/>
    <w:rsid w:val="00801F1F"/>
    <w:rsid w:val="008032B3"/>
    <w:rsid w:val="00803E29"/>
    <w:rsid w:val="0080777E"/>
    <w:rsid w:val="00811C56"/>
    <w:rsid w:val="00813640"/>
    <w:rsid w:val="008158A4"/>
    <w:rsid w:val="00816D6F"/>
    <w:rsid w:val="008318DD"/>
    <w:rsid w:val="00837DD9"/>
    <w:rsid w:val="00846E01"/>
    <w:rsid w:val="008630F9"/>
    <w:rsid w:val="00877ECE"/>
    <w:rsid w:val="008B0311"/>
    <w:rsid w:val="008B1AD7"/>
    <w:rsid w:val="008B5418"/>
    <w:rsid w:val="008B569D"/>
    <w:rsid w:val="008C0A7A"/>
    <w:rsid w:val="008C5384"/>
    <w:rsid w:val="008E222D"/>
    <w:rsid w:val="00904AD2"/>
    <w:rsid w:val="009061AD"/>
    <w:rsid w:val="00922050"/>
    <w:rsid w:val="00924C2B"/>
    <w:rsid w:val="00930CB6"/>
    <w:rsid w:val="00932ECD"/>
    <w:rsid w:val="00942AC7"/>
    <w:rsid w:val="00942D16"/>
    <w:rsid w:val="00954AF6"/>
    <w:rsid w:val="00955B55"/>
    <w:rsid w:val="00955D78"/>
    <w:rsid w:val="009616B1"/>
    <w:rsid w:val="00966FC3"/>
    <w:rsid w:val="00967900"/>
    <w:rsid w:val="00971DF8"/>
    <w:rsid w:val="00973372"/>
    <w:rsid w:val="0097385E"/>
    <w:rsid w:val="00973DFE"/>
    <w:rsid w:val="009762E5"/>
    <w:rsid w:val="00981208"/>
    <w:rsid w:val="00985131"/>
    <w:rsid w:val="00990425"/>
    <w:rsid w:val="009A0616"/>
    <w:rsid w:val="009A2B8C"/>
    <w:rsid w:val="009B575B"/>
    <w:rsid w:val="009C5467"/>
    <w:rsid w:val="009C5678"/>
    <w:rsid w:val="009C624D"/>
    <w:rsid w:val="009C7D4F"/>
    <w:rsid w:val="009F05FF"/>
    <w:rsid w:val="009F7B73"/>
    <w:rsid w:val="00A060C5"/>
    <w:rsid w:val="00A12566"/>
    <w:rsid w:val="00A23D63"/>
    <w:rsid w:val="00A34B39"/>
    <w:rsid w:val="00A43D52"/>
    <w:rsid w:val="00A44D3F"/>
    <w:rsid w:val="00A50B0E"/>
    <w:rsid w:val="00A55CF3"/>
    <w:rsid w:val="00A55D69"/>
    <w:rsid w:val="00A5775E"/>
    <w:rsid w:val="00A62CDF"/>
    <w:rsid w:val="00A821CC"/>
    <w:rsid w:val="00A85BFE"/>
    <w:rsid w:val="00AB15EE"/>
    <w:rsid w:val="00AB51BE"/>
    <w:rsid w:val="00AD5B48"/>
    <w:rsid w:val="00AD75EA"/>
    <w:rsid w:val="00AE2664"/>
    <w:rsid w:val="00AE7B55"/>
    <w:rsid w:val="00AF77F3"/>
    <w:rsid w:val="00AF798C"/>
    <w:rsid w:val="00B04032"/>
    <w:rsid w:val="00B105C6"/>
    <w:rsid w:val="00B11710"/>
    <w:rsid w:val="00B12773"/>
    <w:rsid w:val="00B14814"/>
    <w:rsid w:val="00B25BA8"/>
    <w:rsid w:val="00B2608A"/>
    <w:rsid w:val="00B303A2"/>
    <w:rsid w:val="00B374B7"/>
    <w:rsid w:val="00B46348"/>
    <w:rsid w:val="00B47FC6"/>
    <w:rsid w:val="00B511FA"/>
    <w:rsid w:val="00B60F6E"/>
    <w:rsid w:val="00B64FC4"/>
    <w:rsid w:val="00B75EE5"/>
    <w:rsid w:val="00B813B1"/>
    <w:rsid w:val="00B94AEC"/>
    <w:rsid w:val="00BA1B70"/>
    <w:rsid w:val="00BB0E8E"/>
    <w:rsid w:val="00BB55AA"/>
    <w:rsid w:val="00BD5A17"/>
    <w:rsid w:val="00BD6742"/>
    <w:rsid w:val="00BE1289"/>
    <w:rsid w:val="00BE18A1"/>
    <w:rsid w:val="00BE65EB"/>
    <w:rsid w:val="00BF78F1"/>
    <w:rsid w:val="00C01EAC"/>
    <w:rsid w:val="00C0400B"/>
    <w:rsid w:val="00C20011"/>
    <w:rsid w:val="00C26DA4"/>
    <w:rsid w:val="00C3146B"/>
    <w:rsid w:val="00C3246A"/>
    <w:rsid w:val="00C36BE8"/>
    <w:rsid w:val="00C40077"/>
    <w:rsid w:val="00C42A2F"/>
    <w:rsid w:val="00C50C76"/>
    <w:rsid w:val="00C5426F"/>
    <w:rsid w:val="00C55963"/>
    <w:rsid w:val="00C5687A"/>
    <w:rsid w:val="00C642B7"/>
    <w:rsid w:val="00C64DC4"/>
    <w:rsid w:val="00C74FD2"/>
    <w:rsid w:val="00C84E25"/>
    <w:rsid w:val="00C869AC"/>
    <w:rsid w:val="00C92377"/>
    <w:rsid w:val="00C97EBD"/>
    <w:rsid w:val="00CA2F54"/>
    <w:rsid w:val="00CA7353"/>
    <w:rsid w:val="00CB76F4"/>
    <w:rsid w:val="00CC0CA9"/>
    <w:rsid w:val="00CC46E0"/>
    <w:rsid w:val="00CD0FE7"/>
    <w:rsid w:val="00CD31FD"/>
    <w:rsid w:val="00CE451F"/>
    <w:rsid w:val="00CE4FCC"/>
    <w:rsid w:val="00CE6FD0"/>
    <w:rsid w:val="00CE7641"/>
    <w:rsid w:val="00CF2059"/>
    <w:rsid w:val="00D024B9"/>
    <w:rsid w:val="00D0299C"/>
    <w:rsid w:val="00D10206"/>
    <w:rsid w:val="00D16097"/>
    <w:rsid w:val="00D17C01"/>
    <w:rsid w:val="00D3556D"/>
    <w:rsid w:val="00D378E0"/>
    <w:rsid w:val="00D47CD1"/>
    <w:rsid w:val="00D515F0"/>
    <w:rsid w:val="00D52083"/>
    <w:rsid w:val="00D55501"/>
    <w:rsid w:val="00D653AA"/>
    <w:rsid w:val="00D7193D"/>
    <w:rsid w:val="00D817E7"/>
    <w:rsid w:val="00D81DD7"/>
    <w:rsid w:val="00D83BC0"/>
    <w:rsid w:val="00D91D6B"/>
    <w:rsid w:val="00D960C6"/>
    <w:rsid w:val="00DB1715"/>
    <w:rsid w:val="00DB1CCB"/>
    <w:rsid w:val="00DB3CF6"/>
    <w:rsid w:val="00DD5828"/>
    <w:rsid w:val="00DE3FB0"/>
    <w:rsid w:val="00DF7DDA"/>
    <w:rsid w:val="00E04FE4"/>
    <w:rsid w:val="00E06178"/>
    <w:rsid w:val="00E1357A"/>
    <w:rsid w:val="00E169F4"/>
    <w:rsid w:val="00E17AAB"/>
    <w:rsid w:val="00E17AE0"/>
    <w:rsid w:val="00E2123C"/>
    <w:rsid w:val="00E42F6A"/>
    <w:rsid w:val="00E604D7"/>
    <w:rsid w:val="00E61045"/>
    <w:rsid w:val="00E660D4"/>
    <w:rsid w:val="00E73453"/>
    <w:rsid w:val="00E97311"/>
    <w:rsid w:val="00EA27E5"/>
    <w:rsid w:val="00EA6B50"/>
    <w:rsid w:val="00EB371C"/>
    <w:rsid w:val="00EC64EC"/>
    <w:rsid w:val="00ED3047"/>
    <w:rsid w:val="00ED7CB7"/>
    <w:rsid w:val="00EE0626"/>
    <w:rsid w:val="00EE3DC4"/>
    <w:rsid w:val="00EE4D34"/>
    <w:rsid w:val="00EE6693"/>
    <w:rsid w:val="00F00606"/>
    <w:rsid w:val="00F00784"/>
    <w:rsid w:val="00F14AC7"/>
    <w:rsid w:val="00F159AA"/>
    <w:rsid w:val="00F24106"/>
    <w:rsid w:val="00F27562"/>
    <w:rsid w:val="00F27BB4"/>
    <w:rsid w:val="00F35D78"/>
    <w:rsid w:val="00F4255E"/>
    <w:rsid w:val="00F54060"/>
    <w:rsid w:val="00F574CF"/>
    <w:rsid w:val="00F62BF4"/>
    <w:rsid w:val="00F6472D"/>
    <w:rsid w:val="00F64A37"/>
    <w:rsid w:val="00F65D2C"/>
    <w:rsid w:val="00F81AA3"/>
    <w:rsid w:val="00F84133"/>
    <w:rsid w:val="00F84D82"/>
    <w:rsid w:val="00F9675D"/>
    <w:rsid w:val="00F977DD"/>
    <w:rsid w:val="00F978F1"/>
    <w:rsid w:val="00FA3448"/>
    <w:rsid w:val="00FA7B06"/>
    <w:rsid w:val="00FB65A0"/>
    <w:rsid w:val="00FC73F2"/>
    <w:rsid w:val="00FD1654"/>
    <w:rsid w:val="00FD7453"/>
    <w:rsid w:val="00FE5EC8"/>
    <w:rsid w:val="00FF7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AE005"/>
  <w15:chartTrackingRefBased/>
  <w15:docId w15:val="{A4788431-ED68-4244-914E-7EC51847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11C56"/>
    <w:pPr>
      <w:widowControl w:val="0"/>
      <w:adjustRightInd w:val="0"/>
      <w:spacing w:line="360" w:lineRule="atLeast"/>
      <w:jc w:val="both"/>
    </w:pPr>
  </w:style>
  <w:style w:type="paragraph" w:styleId="Titolo1">
    <w:name w:val="heading 1"/>
    <w:basedOn w:val="Normale"/>
    <w:next w:val="Corpotesto"/>
    <w:qFormat/>
    <w:rsid w:val="00837DD9"/>
    <w:pPr>
      <w:keepNext/>
      <w:widowControl/>
      <w:numPr>
        <w:numId w:val="1"/>
      </w:numPr>
      <w:suppressAutoHyphens/>
      <w:adjustRightInd/>
      <w:spacing w:line="540" w:lineRule="atLeast"/>
      <w:jc w:val="left"/>
      <w:outlineLvl w:val="0"/>
    </w:pPr>
    <w:rPr>
      <w:kern w:val="1"/>
      <w:sz w:val="24"/>
      <w:lang w:eastAsia="ar-SA"/>
    </w:rPr>
  </w:style>
  <w:style w:type="paragraph" w:styleId="Titolo2">
    <w:name w:val="heading 2"/>
    <w:basedOn w:val="Normale"/>
    <w:next w:val="Normale"/>
    <w:link w:val="Titolo2Carattere"/>
    <w:semiHidden/>
    <w:unhideWhenUsed/>
    <w:qFormat/>
    <w:rsid w:val="007652FF"/>
    <w:pPr>
      <w:keepNext/>
      <w:spacing w:before="240" w:after="60"/>
      <w:outlineLvl w:val="1"/>
    </w:pPr>
    <w:rPr>
      <w:rFonts w:ascii="Cambria" w:hAnsi="Cambria"/>
      <w:b/>
      <w:bCs/>
      <w:i/>
      <w:iCs/>
      <w:sz w:val="28"/>
      <w:szCs w:val="28"/>
    </w:rPr>
  </w:style>
  <w:style w:type="paragraph" w:styleId="Titolo5">
    <w:name w:val="heading 5"/>
    <w:basedOn w:val="Normale"/>
    <w:next w:val="Normale"/>
    <w:link w:val="Titolo5Carattere"/>
    <w:semiHidden/>
    <w:unhideWhenUsed/>
    <w:qFormat/>
    <w:rsid w:val="007652FF"/>
    <w:pPr>
      <w:spacing w:before="240" w:after="60"/>
      <w:outlineLvl w:val="4"/>
    </w:pPr>
    <w:rPr>
      <w:rFonts w:ascii="Calibri" w:hAnsi="Calibri"/>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rsid w:val="00811C5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napToGrid w:val="0"/>
      <w:spacing w:before="120" w:after="120" w:line="240" w:lineRule="auto"/>
      <w:ind w:left="3969"/>
      <w:jc w:val="center"/>
    </w:pPr>
    <w:rPr>
      <w:rFonts w:ascii="Courier New" w:hAnsi="Courier New"/>
      <w:b/>
      <w:color w:val="000000"/>
      <w:sz w:val="24"/>
    </w:rPr>
  </w:style>
  <w:style w:type="paragraph" w:customStyle="1" w:styleId="elencopuntatoprov">
    <w:name w:val="elenco puntato prov"/>
    <w:basedOn w:val="Normale"/>
    <w:autoRedefine/>
    <w:rsid w:val="009A0616"/>
    <w:pPr>
      <w:adjustRightInd/>
      <w:snapToGrid w:val="0"/>
      <w:spacing w:before="120" w:after="120" w:line="240" w:lineRule="auto"/>
    </w:pPr>
    <w:rPr>
      <w:rFonts w:ascii="Verdana" w:eastAsia="Lucida Sans Unicode" w:hAnsi="Verdana" w:cs="Courier New"/>
      <w:kern w:val="1"/>
      <w:lang w:eastAsia="ar-SA"/>
    </w:rPr>
  </w:style>
  <w:style w:type="paragraph" w:customStyle="1" w:styleId="paragrafoprov">
    <w:name w:val="paragrafo prov"/>
    <w:basedOn w:val="Normale"/>
    <w:rsid w:val="00811C5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napToGrid w:val="0"/>
      <w:spacing w:before="120" w:after="120" w:line="240" w:lineRule="auto"/>
      <w:ind w:firstLine="851"/>
      <w:jc w:val="center"/>
    </w:pPr>
    <w:rPr>
      <w:rFonts w:ascii="Courier New" w:hAnsi="Courier New"/>
      <w:b/>
      <w:color w:val="000000"/>
      <w:sz w:val="24"/>
    </w:rPr>
  </w:style>
  <w:style w:type="paragraph" w:customStyle="1" w:styleId="Corpodeltesto21">
    <w:name w:val="Corpo del testo 21"/>
    <w:basedOn w:val="Normale"/>
    <w:rsid w:val="00D91D6B"/>
    <w:pPr>
      <w:widowControl/>
      <w:suppressAutoHyphens/>
      <w:adjustRightInd/>
      <w:spacing w:line="240" w:lineRule="auto"/>
      <w:jc w:val="left"/>
    </w:pPr>
    <w:rPr>
      <w:kern w:val="1"/>
      <w:lang w:eastAsia="ar-SA"/>
    </w:rPr>
  </w:style>
  <w:style w:type="paragraph" w:customStyle="1" w:styleId="paragrafo">
    <w:name w:val="paragrafo"/>
    <w:basedOn w:val="Normale"/>
    <w:rsid w:val="007D2935"/>
    <w:pPr>
      <w:adjustRightInd/>
      <w:spacing w:before="120" w:after="120" w:line="240" w:lineRule="auto"/>
      <w:ind w:firstLine="851"/>
    </w:pPr>
    <w:rPr>
      <w:rFonts w:ascii="Courier New" w:hAnsi="Courier New"/>
      <w:snapToGrid w:val="0"/>
      <w:sz w:val="24"/>
    </w:rPr>
  </w:style>
  <w:style w:type="paragraph" w:styleId="Corpotesto">
    <w:name w:val="Body Text"/>
    <w:basedOn w:val="Normale"/>
    <w:rsid w:val="00837DD9"/>
    <w:pPr>
      <w:widowControl/>
      <w:suppressAutoHyphens/>
      <w:adjustRightInd/>
      <w:spacing w:after="120" w:line="240" w:lineRule="auto"/>
      <w:jc w:val="left"/>
    </w:pPr>
    <w:rPr>
      <w:rFonts w:ascii="Arial" w:eastAsia="Lucida Sans Unicode" w:hAnsi="Arial"/>
      <w:kern w:val="1"/>
      <w:sz w:val="24"/>
      <w:szCs w:val="24"/>
      <w:lang w:eastAsia="ar-SA"/>
    </w:rPr>
  </w:style>
  <w:style w:type="paragraph" w:customStyle="1" w:styleId="Default">
    <w:name w:val="Default"/>
    <w:basedOn w:val="Normale"/>
    <w:rsid w:val="00837DD9"/>
    <w:pPr>
      <w:widowControl/>
      <w:suppressAutoHyphens/>
      <w:adjustRightInd/>
      <w:spacing w:line="240" w:lineRule="auto"/>
      <w:jc w:val="left"/>
    </w:pPr>
    <w:rPr>
      <w:kern w:val="1"/>
      <w:lang w:eastAsia="ar-SA"/>
    </w:rPr>
  </w:style>
  <w:style w:type="character" w:styleId="Collegamentoipertestuale">
    <w:name w:val="Hyperlink"/>
    <w:uiPriority w:val="99"/>
    <w:rsid w:val="00837DD9"/>
    <w:rPr>
      <w:color w:val="0000FF"/>
      <w:u w:val="single"/>
    </w:rPr>
  </w:style>
  <w:style w:type="paragraph" w:styleId="Sommario1">
    <w:name w:val="toc 1"/>
    <w:basedOn w:val="Normale"/>
    <w:next w:val="Normale"/>
    <w:autoRedefine/>
    <w:uiPriority w:val="39"/>
    <w:unhideWhenUsed/>
    <w:qFormat/>
    <w:rsid w:val="00837DD9"/>
    <w:pPr>
      <w:widowControl/>
      <w:tabs>
        <w:tab w:val="right" w:leader="dot" w:pos="8630"/>
      </w:tabs>
      <w:suppressAutoHyphens/>
      <w:adjustRightInd/>
      <w:spacing w:line="360" w:lineRule="auto"/>
      <w:jc w:val="left"/>
    </w:pPr>
    <w:rPr>
      <w:kern w:val="1"/>
      <w:lang w:eastAsia="ar-SA"/>
    </w:rPr>
  </w:style>
  <w:style w:type="paragraph" w:styleId="Testofumetto">
    <w:name w:val="Balloon Text"/>
    <w:basedOn w:val="Normale"/>
    <w:semiHidden/>
    <w:rsid w:val="006D733F"/>
    <w:rPr>
      <w:rFonts w:ascii="Tahoma" w:hAnsi="Tahoma" w:cs="Tahoma"/>
      <w:sz w:val="16"/>
      <w:szCs w:val="16"/>
    </w:rPr>
  </w:style>
  <w:style w:type="character" w:styleId="Collegamentovisitato">
    <w:name w:val="FollowedHyperlink"/>
    <w:rsid w:val="007401D5"/>
    <w:rPr>
      <w:color w:val="800080"/>
      <w:u w:val="single"/>
    </w:rPr>
  </w:style>
  <w:style w:type="paragraph" w:styleId="Intestazione">
    <w:name w:val="header"/>
    <w:basedOn w:val="Normale"/>
    <w:link w:val="IntestazioneCarattere"/>
    <w:rsid w:val="00F84D82"/>
    <w:pPr>
      <w:tabs>
        <w:tab w:val="center" w:pos="4819"/>
        <w:tab w:val="right" w:pos="9638"/>
      </w:tabs>
    </w:pPr>
  </w:style>
  <w:style w:type="character" w:customStyle="1" w:styleId="IntestazioneCarattere">
    <w:name w:val="Intestazione Carattere"/>
    <w:basedOn w:val="Carpredefinitoparagrafo"/>
    <w:link w:val="Intestazione"/>
    <w:rsid w:val="00F84D82"/>
  </w:style>
  <w:style w:type="paragraph" w:styleId="Pidipagina">
    <w:name w:val="footer"/>
    <w:basedOn w:val="Normale"/>
    <w:link w:val="PidipaginaCarattere"/>
    <w:uiPriority w:val="99"/>
    <w:rsid w:val="00F84D82"/>
    <w:pPr>
      <w:tabs>
        <w:tab w:val="center" w:pos="4819"/>
        <w:tab w:val="right" w:pos="9638"/>
      </w:tabs>
    </w:pPr>
  </w:style>
  <w:style w:type="character" w:customStyle="1" w:styleId="PidipaginaCarattere">
    <w:name w:val="Piè di pagina Carattere"/>
    <w:basedOn w:val="Carpredefinitoparagrafo"/>
    <w:link w:val="Pidipagina"/>
    <w:uiPriority w:val="99"/>
    <w:rsid w:val="00F84D82"/>
  </w:style>
  <w:style w:type="character" w:customStyle="1" w:styleId="Titolo2Carattere">
    <w:name w:val="Titolo 2 Carattere"/>
    <w:link w:val="Titolo2"/>
    <w:semiHidden/>
    <w:rsid w:val="007652FF"/>
    <w:rPr>
      <w:rFonts w:ascii="Cambria" w:eastAsia="Times New Roman" w:hAnsi="Cambria" w:cs="Times New Roman"/>
      <w:b/>
      <w:bCs/>
      <w:i/>
      <w:iCs/>
      <w:sz w:val="28"/>
      <w:szCs w:val="28"/>
    </w:rPr>
  </w:style>
  <w:style w:type="character" w:customStyle="1" w:styleId="Titolo5Carattere">
    <w:name w:val="Titolo 5 Carattere"/>
    <w:link w:val="Titolo5"/>
    <w:semiHidden/>
    <w:rsid w:val="007652FF"/>
    <w:rPr>
      <w:rFonts w:ascii="Calibri" w:eastAsia="Times New Roman" w:hAnsi="Calibri" w:cs="Times New Roman"/>
      <w:b/>
      <w:bCs/>
      <w:i/>
      <w:iCs/>
      <w:sz w:val="26"/>
      <w:szCs w:val="26"/>
    </w:rPr>
  </w:style>
  <w:style w:type="paragraph" w:styleId="Rientrocorpodeltesto">
    <w:name w:val="Body Text Indent"/>
    <w:basedOn w:val="Normale"/>
    <w:link w:val="RientrocorpodeltestoCarattere"/>
    <w:rsid w:val="007652FF"/>
    <w:pPr>
      <w:spacing w:after="120"/>
      <w:ind w:left="283"/>
    </w:pPr>
  </w:style>
  <w:style w:type="character" w:customStyle="1" w:styleId="RientrocorpodeltestoCarattere">
    <w:name w:val="Rientro corpo del testo Carattere"/>
    <w:basedOn w:val="Carpredefinitoparagrafo"/>
    <w:link w:val="Rientrocorpodeltesto"/>
    <w:rsid w:val="007652FF"/>
  </w:style>
  <w:style w:type="paragraph" w:styleId="Testonotaapidipagina">
    <w:name w:val="footnote text"/>
    <w:basedOn w:val="Normale"/>
    <w:link w:val="TestonotaapidipaginaCarattere"/>
    <w:uiPriority w:val="99"/>
    <w:rsid w:val="0097385E"/>
  </w:style>
  <w:style w:type="character" w:customStyle="1" w:styleId="TestonotaapidipaginaCarattere">
    <w:name w:val="Testo nota a piè di pagina Carattere"/>
    <w:basedOn w:val="Carpredefinitoparagrafo"/>
    <w:link w:val="Testonotaapidipagina"/>
    <w:uiPriority w:val="99"/>
    <w:rsid w:val="0097385E"/>
  </w:style>
  <w:style w:type="paragraph" w:styleId="Titolo">
    <w:name w:val="Title"/>
    <w:basedOn w:val="Normale"/>
    <w:next w:val="Normale"/>
    <w:link w:val="TitoloCarattere"/>
    <w:qFormat/>
    <w:rsid w:val="0097385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97385E"/>
    <w:rPr>
      <w:rFonts w:ascii="Cambria" w:eastAsia="Times New Roman" w:hAnsi="Cambria" w:cs="Times New Roman"/>
      <w:b/>
      <w:bCs/>
      <w:kern w:val="28"/>
      <w:sz w:val="32"/>
      <w:szCs w:val="32"/>
    </w:rPr>
  </w:style>
  <w:style w:type="character" w:styleId="Rimandonotaapidipagina">
    <w:name w:val="footnote reference"/>
    <w:rsid w:val="0097385E"/>
    <w:rPr>
      <w:vertAlign w:val="superscript"/>
    </w:rPr>
  </w:style>
  <w:style w:type="character" w:styleId="Rimandocommento">
    <w:name w:val="annotation reference"/>
    <w:rsid w:val="00D17C01"/>
    <w:rPr>
      <w:sz w:val="16"/>
      <w:szCs w:val="16"/>
    </w:rPr>
  </w:style>
  <w:style w:type="paragraph" w:styleId="Testocommento">
    <w:name w:val="annotation text"/>
    <w:basedOn w:val="Normale"/>
    <w:link w:val="TestocommentoCarattere"/>
    <w:rsid w:val="00D17C01"/>
  </w:style>
  <w:style w:type="character" w:customStyle="1" w:styleId="TestocommentoCarattere">
    <w:name w:val="Testo commento Carattere"/>
    <w:link w:val="Testocommento"/>
    <w:rsid w:val="00D17C01"/>
    <w:rPr>
      <w:lang w:val="it-IT" w:eastAsia="it-IT"/>
    </w:rPr>
  </w:style>
  <w:style w:type="paragraph" w:styleId="Soggettocommento">
    <w:name w:val="annotation subject"/>
    <w:basedOn w:val="Testocommento"/>
    <w:next w:val="Testocommento"/>
    <w:link w:val="SoggettocommentoCarattere"/>
    <w:rsid w:val="00D17C01"/>
    <w:rPr>
      <w:b/>
      <w:bCs/>
    </w:rPr>
  </w:style>
  <w:style w:type="character" w:customStyle="1" w:styleId="SoggettocommentoCarattere">
    <w:name w:val="Soggetto commento Carattere"/>
    <w:link w:val="Soggettocommento"/>
    <w:rsid w:val="00D17C01"/>
    <w:rPr>
      <w:b/>
      <w:bCs/>
      <w:lang w:val="it-IT" w:eastAsia="it-IT"/>
    </w:rPr>
  </w:style>
  <w:style w:type="table" w:styleId="Grigliatabella">
    <w:name w:val="Table Grid"/>
    <w:basedOn w:val="Tabellanormale"/>
    <w:rsid w:val="0059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2C548C"/>
    <w:rPr>
      <w:color w:val="808080"/>
      <w:shd w:val="clear" w:color="auto" w:fill="E6E6E6"/>
    </w:rPr>
  </w:style>
  <w:style w:type="paragraph" w:styleId="Paragrafoelenco">
    <w:name w:val="List Paragraph"/>
    <w:basedOn w:val="Normale"/>
    <w:uiPriority w:val="34"/>
    <w:qFormat/>
    <w:rsid w:val="00B14814"/>
    <w:pPr>
      <w:ind w:left="720"/>
      <w:contextualSpacing/>
    </w:pPr>
  </w:style>
  <w:style w:type="paragraph" w:customStyle="1" w:styleId="protocollo">
    <w:name w:val="protocollo"/>
    <w:basedOn w:val="Normale"/>
    <w:uiPriority w:val="99"/>
    <w:rsid w:val="00B14814"/>
    <w:pPr>
      <w:widowControl/>
      <w:adjustRightInd/>
      <w:spacing w:line="560" w:lineRule="exact"/>
      <w:ind w:right="-454"/>
    </w:pPr>
    <w:rPr>
      <w:rFonts w:ascii="Courier New" w:hAnsi="Courier New" w:cs="Courier New"/>
    </w:rPr>
  </w:style>
  <w:style w:type="paragraph" w:customStyle="1" w:styleId="Articoli">
    <w:name w:val="Articoli"/>
    <w:basedOn w:val="Normale"/>
    <w:link w:val="ArticoliChar"/>
    <w:qFormat/>
    <w:rsid w:val="00164270"/>
    <w:pPr>
      <w:widowControl/>
      <w:suppressAutoHyphens/>
      <w:adjustRightInd/>
      <w:spacing w:line="360" w:lineRule="auto"/>
      <w:jc w:val="center"/>
    </w:pPr>
    <w:rPr>
      <w:rFonts w:ascii="Verdana" w:hAnsi="Verdana" w:cs="Tahoma"/>
      <w:b/>
      <w:kern w:val="2"/>
      <w:lang w:eastAsia="ar-SA"/>
    </w:rPr>
  </w:style>
  <w:style w:type="character" w:customStyle="1" w:styleId="ArticoliChar">
    <w:name w:val="Articoli Char"/>
    <w:link w:val="Articoli"/>
    <w:rsid w:val="00164270"/>
    <w:rPr>
      <w:rFonts w:ascii="Verdana" w:hAnsi="Verdana" w:cs="Tahoma"/>
      <w:b/>
      <w:kern w:val="2"/>
      <w:lang w:val="it-IT" w:eastAsia="ar-SA"/>
    </w:rPr>
  </w:style>
  <w:style w:type="character" w:styleId="Menzionenonrisolta">
    <w:name w:val="Unresolved Mention"/>
    <w:uiPriority w:val="99"/>
    <w:semiHidden/>
    <w:unhideWhenUsed/>
    <w:rsid w:val="00816D6F"/>
    <w:rPr>
      <w:color w:val="605E5C"/>
      <w:shd w:val="clear" w:color="auto" w:fill="E1DFDD"/>
    </w:rPr>
  </w:style>
  <w:style w:type="paragraph" w:styleId="Revisione">
    <w:name w:val="Revision"/>
    <w:hidden/>
    <w:uiPriority w:val="99"/>
    <w:semiHidden/>
    <w:rsid w:val="001D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6914">
      <w:bodyDiv w:val="1"/>
      <w:marLeft w:val="0"/>
      <w:marRight w:val="0"/>
      <w:marTop w:val="0"/>
      <w:marBottom w:val="0"/>
      <w:divBdr>
        <w:top w:val="none" w:sz="0" w:space="0" w:color="auto"/>
        <w:left w:val="none" w:sz="0" w:space="0" w:color="auto"/>
        <w:bottom w:val="none" w:sz="0" w:space="0" w:color="auto"/>
        <w:right w:val="none" w:sz="0" w:space="0" w:color="auto"/>
      </w:divBdr>
    </w:div>
    <w:div w:id="372776046">
      <w:bodyDiv w:val="1"/>
      <w:marLeft w:val="0"/>
      <w:marRight w:val="0"/>
      <w:marTop w:val="0"/>
      <w:marBottom w:val="0"/>
      <w:divBdr>
        <w:top w:val="none" w:sz="0" w:space="0" w:color="auto"/>
        <w:left w:val="none" w:sz="0" w:space="0" w:color="auto"/>
        <w:bottom w:val="none" w:sz="0" w:space="0" w:color="auto"/>
        <w:right w:val="none" w:sz="0" w:space="0" w:color="auto"/>
      </w:divBdr>
    </w:div>
    <w:div w:id="476846966">
      <w:bodyDiv w:val="1"/>
      <w:marLeft w:val="0"/>
      <w:marRight w:val="0"/>
      <w:marTop w:val="0"/>
      <w:marBottom w:val="0"/>
      <w:divBdr>
        <w:top w:val="none" w:sz="0" w:space="0" w:color="auto"/>
        <w:left w:val="none" w:sz="0" w:space="0" w:color="auto"/>
        <w:bottom w:val="none" w:sz="0" w:space="0" w:color="auto"/>
        <w:right w:val="none" w:sz="0" w:space="0" w:color="auto"/>
      </w:divBdr>
    </w:div>
    <w:div w:id="691809206">
      <w:bodyDiv w:val="1"/>
      <w:marLeft w:val="0"/>
      <w:marRight w:val="0"/>
      <w:marTop w:val="0"/>
      <w:marBottom w:val="0"/>
      <w:divBdr>
        <w:top w:val="none" w:sz="0" w:space="0" w:color="auto"/>
        <w:left w:val="none" w:sz="0" w:space="0" w:color="auto"/>
        <w:bottom w:val="none" w:sz="0" w:space="0" w:color="auto"/>
        <w:right w:val="none" w:sz="0" w:space="0" w:color="auto"/>
      </w:divBdr>
    </w:div>
    <w:div w:id="725300687">
      <w:bodyDiv w:val="1"/>
      <w:marLeft w:val="0"/>
      <w:marRight w:val="0"/>
      <w:marTop w:val="0"/>
      <w:marBottom w:val="0"/>
      <w:divBdr>
        <w:top w:val="none" w:sz="0" w:space="0" w:color="auto"/>
        <w:left w:val="none" w:sz="0" w:space="0" w:color="auto"/>
        <w:bottom w:val="none" w:sz="0" w:space="0" w:color="auto"/>
        <w:right w:val="none" w:sz="0" w:space="0" w:color="auto"/>
      </w:divBdr>
    </w:div>
    <w:div w:id="1011104694">
      <w:bodyDiv w:val="1"/>
      <w:marLeft w:val="0"/>
      <w:marRight w:val="0"/>
      <w:marTop w:val="0"/>
      <w:marBottom w:val="0"/>
      <w:divBdr>
        <w:top w:val="none" w:sz="0" w:space="0" w:color="auto"/>
        <w:left w:val="none" w:sz="0" w:space="0" w:color="auto"/>
        <w:bottom w:val="none" w:sz="0" w:space="0" w:color="auto"/>
        <w:right w:val="none" w:sz="0" w:space="0" w:color="auto"/>
      </w:divBdr>
    </w:div>
    <w:div w:id="1152672284">
      <w:bodyDiv w:val="1"/>
      <w:marLeft w:val="0"/>
      <w:marRight w:val="0"/>
      <w:marTop w:val="0"/>
      <w:marBottom w:val="0"/>
      <w:divBdr>
        <w:top w:val="none" w:sz="0" w:space="0" w:color="auto"/>
        <w:left w:val="none" w:sz="0" w:space="0" w:color="auto"/>
        <w:bottom w:val="none" w:sz="0" w:space="0" w:color="auto"/>
        <w:right w:val="none" w:sz="0" w:space="0" w:color="auto"/>
      </w:divBdr>
      <w:divsChild>
        <w:div w:id="1333026127">
          <w:marLeft w:val="0"/>
          <w:marRight w:val="0"/>
          <w:marTop w:val="0"/>
          <w:marBottom w:val="0"/>
          <w:divBdr>
            <w:top w:val="none" w:sz="0" w:space="0" w:color="auto"/>
            <w:left w:val="none" w:sz="0" w:space="0" w:color="auto"/>
            <w:bottom w:val="none" w:sz="0" w:space="0" w:color="auto"/>
            <w:right w:val="none" w:sz="0" w:space="0" w:color="auto"/>
          </w:divBdr>
          <w:divsChild>
            <w:div w:id="4600430">
              <w:marLeft w:val="0"/>
              <w:marRight w:val="0"/>
              <w:marTop w:val="0"/>
              <w:marBottom w:val="0"/>
              <w:divBdr>
                <w:top w:val="none" w:sz="0" w:space="0" w:color="auto"/>
                <w:left w:val="none" w:sz="0" w:space="0" w:color="auto"/>
                <w:bottom w:val="none" w:sz="0" w:space="0" w:color="auto"/>
                <w:right w:val="none" w:sz="0" w:space="0" w:color="auto"/>
              </w:divBdr>
              <w:divsChild>
                <w:div w:id="1028750685">
                  <w:marLeft w:val="0"/>
                  <w:marRight w:val="0"/>
                  <w:marTop w:val="0"/>
                  <w:marBottom w:val="0"/>
                  <w:divBdr>
                    <w:top w:val="none" w:sz="0" w:space="0" w:color="auto"/>
                    <w:left w:val="none" w:sz="0" w:space="0" w:color="auto"/>
                    <w:bottom w:val="none" w:sz="0" w:space="0" w:color="auto"/>
                    <w:right w:val="none" w:sz="0" w:space="0" w:color="auto"/>
                  </w:divBdr>
                  <w:divsChild>
                    <w:div w:id="782379069">
                      <w:marLeft w:val="0"/>
                      <w:marRight w:val="0"/>
                      <w:marTop w:val="0"/>
                      <w:marBottom w:val="0"/>
                      <w:divBdr>
                        <w:top w:val="none" w:sz="0" w:space="0" w:color="auto"/>
                        <w:left w:val="none" w:sz="0" w:space="0" w:color="auto"/>
                        <w:bottom w:val="none" w:sz="0" w:space="0" w:color="auto"/>
                        <w:right w:val="none" w:sz="0" w:space="0" w:color="auto"/>
                      </w:divBdr>
                      <w:divsChild>
                        <w:div w:id="964509288">
                          <w:marLeft w:val="50"/>
                          <w:marRight w:val="0"/>
                          <w:marTop w:val="50"/>
                          <w:marBottom w:val="0"/>
                          <w:divBdr>
                            <w:top w:val="none" w:sz="0" w:space="0" w:color="auto"/>
                            <w:left w:val="none" w:sz="0" w:space="0" w:color="auto"/>
                            <w:bottom w:val="none" w:sz="0" w:space="0" w:color="auto"/>
                            <w:right w:val="none" w:sz="0" w:space="0" w:color="auto"/>
                          </w:divBdr>
                          <w:divsChild>
                            <w:div w:id="550117740">
                              <w:marLeft w:val="0"/>
                              <w:marRight w:val="0"/>
                              <w:marTop w:val="0"/>
                              <w:marBottom w:val="0"/>
                              <w:divBdr>
                                <w:top w:val="none" w:sz="0" w:space="0" w:color="auto"/>
                                <w:left w:val="none" w:sz="0" w:space="0" w:color="auto"/>
                                <w:bottom w:val="none" w:sz="0" w:space="0" w:color="auto"/>
                                <w:right w:val="none" w:sz="0" w:space="0" w:color="auto"/>
                              </w:divBdr>
                              <w:divsChild>
                                <w:div w:id="407771726">
                                  <w:marLeft w:val="0"/>
                                  <w:marRight w:val="0"/>
                                  <w:marTop w:val="0"/>
                                  <w:marBottom w:val="0"/>
                                  <w:divBdr>
                                    <w:top w:val="none" w:sz="0" w:space="0" w:color="auto"/>
                                    <w:left w:val="none" w:sz="0" w:space="0" w:color="auto"/>
                                    <w:bottom w:val="none" w:sz="0" w:space="0" w:color="auto"/>
                                    <w:right w:val="none" w:sz="0" w:space="0" w:color="auto"/>
                                  </w:divBdr>
                                  <w:divsChild>
                                    <w:div w:id="1200706760">
                                      <w:marLeft w:val="0"/>
                                      <w:marRight w:val="0"/>
                                      <w:marTop w:val="0"/>
                                      <w:marBottom w:val="0"/>
                                      <w:divBdr>
                                        <w:top w:val="none" w:sz="0" w:space="0" w:color="auto"/>
                                        <w:left w:val="none" w:sz="0" w:space="0" w:color="auto"/>
                                        <w:bottom w:val="none" w:sz="0" w:space="0" w:color="auto"/>
                                        <w:right w:val="none" w:sz="0" w:space="0" w:color="auto"/>
                                      </w:divBdr>
                                      <w:divsChild>
                                        <w:div w:id="13119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000010">
      <w:bodyDiv w:val="1"/>
      <w:marLeft w:val="0"/>
      <w:marRight w:val="0"/>
      <w:marTop w:val="0"/>
      <w:marBottom w:val="0"/>
      <w:divBdr>
        <w:top w:val="none" w:sz="0" w:space="0" w:color="auto"/>
        <w:left w:val="none" w:sz="0" w:space="0" w:color="auto"/>
        <w:bottom w:val="none" w:sz="0" w:space="0" w:color="auto"/>
        <w:right w:val="none" w:sz="0" w:space="0" w:color="auto"/>
      </w:divBdr>
    </w:div>
    <w:div w:id="1352150032">
      <w:bodyDiv w:val="1"/>
      <w:marLeft w:val="0"/>
      <w:marRight w:val="0"/>
      <w:marTop w:val="0"/>
      <w:marBottom w:val="0"/>
      <w:divBdr>
        <w:top w:val="none" w:sz="0" w:space="0" w:color="auto"/>
        <w:left w:val="none" w:sz="0" w:space="0" w:color="auto"/>
        <w:bottom w:val="none" w:sz="0" w:space="0" w:color="auto"/>
        <w:right w:val="none" w:sz="0" w:space="0" w:color="auto"/>
      </w:divBdr>
    </w:div>
    <w:div w:id="1377461832">
      <w:bodyDiv w:val="1"/>
      <w:marLeft w:val="0"/>
      <w:marRight w:val="0"/>
      <w:marTop w:val="0"/>
      <w:marBottom w:val="0"/>
      <w:divBdr>
        <w:top w:val="none" w:sz="0" w:space="0" w:color="auto"/>
        <w:left w:val="none" w:sz="0" w:space="0" w:color="auto"/>
        <w:bottom w:val="none" w:sz="0" w:space="0" w:color="auto"/>
        <w:right w:val="none" w:sz="0" w:space="0" w:color="auto"/>
      </w:divBdr>
      <w:divsChild>
        <w:div w:id="1894995919">
          <w:marLeft w:val="0"/>
          <w:marRight w:val="0"/>
          <w:marTop w:val="0"/>
          <w:marBottom w:val="0"/>
          <w:divBdr>
            <w:top w:val="none" w:sz="0" w:space="0" w:color="auto"/>
            <w:left w:val="none" w:sz="0" w:space="0" w:color="auto"/>
            <w:bottom w:val="none" w:sz="0" w:space="0" w:color="auto"/>
            <w:right w:val="none" w:sz="0" w:space="0" w:color="auto"/>
          </w:divBdr>
          <w:divsChild>
            <w:div w:id="1219169520">
              <w:marLeft w:val="0"/>
              <w:marRight w:val="0"/>
              <w:marTop w:val="0"/>
              <w:marBottom w:val="0"/>
              <w:divBdr>
                <w:top w:val="none" w:sz="0" w:space="0" w:color="auto"/>
                <w:left w:val="none" w:sz="0" w:space="0" w:color="auto"/>
                <w:bottom w:val="none" w:sz="0" w:space="0" w:color="auto"/>
                <w:right w:val="none" w:sz="0" w:space="0" w:color="auto"/>
              </w:divBdr>
              <w:divsChild>
                <w:div w:id="193082090">
                  <w:marLeft w:val="0"/>
                  <w:marRight w:val="0"/>
                  <w:marTop w:val="0"/>
                  <w:marBottom w:val="0"/>
                  <w:divBdr>
                    <w:top w:val="none" w:sz="0" w:space="0" w:color="auto"/>
                    <w:left w:val="none" w:sz="0" w:space="0" w:color="auto"/>
                    <w:bottom w:val="none" w:sz="0" w:space="0" w:color="auto"/>
                    <w:right w:val="none" w:sz="0" w:space="0" w:color="auto"/>
                  </w:divBdr>
                  <w:divsChild>
                    <w:div w:id="1269580635">
                      <w:marLeft w:val="0"/>
                      <w:marRight w:val="0"/>
                      <w:marTop w:val="0"/>
                      <w:marBottom w:val="0"/>
                      <w:divBdr>
                        <w:top w:val="none" w:sz="0" w:space="0" w:color="auto"/>
                        <w:left w:val="none" w:sz="0" w:space="0" w:color="auto"/>
                        <w:bottom w:val="none" w:sz="0" w:space="0" w:color="auto"/>
                        <w:right w:val="none" w:sz="0" w:space="0" w:color="auto"/>
                      </w:divBdr>
                      <w:divsChild>
                        <w:div w:id="162671557">
                          <w:marLeft w:val="50"/>
                          <w:marRight w:val="0"/>
                          <w:marTop w:val="50"/>
                          <w:marBottom w:val="0"/>
                          <w:divBdr>
                            <w:top w:val="none" w:sz="0" w:space="0" w:color="auto"/>
                            <w:left w:val="none" w:sz="0" w:space="0" w:color="auto"/>
                            <w:bottom w:val="none" w:sz="0" w:space="0" w:color="auto"/>
                            <w:right w:val="none" w:sz="0" w:space="0" w:color="auto"/>
                          </w:divBdr>
                          <w:divsChild>
                            <w:div w:id="551842003">
                              <w:marLeft w:val="0"/>
                              <w:marRight w:val="0"/>
                              <w:marTop w:val="0"/>
                              <w:marBottom w:val="0"/>
                              <w:divBdr>
                                <w:top w:val="none" w:sz="0" w:space="0" w:color="auto"/>
                                <w:left w:val="none" w:sz="0" w:space="0" w:color="auto"/>
                                <w:bottom w:val="none" w:sz="0" w:space="0" w:color="auto"/>
                                <w:right w:val="none" w:sz="0" w:space="0" w:color="auto"/>
                              </w:divBdr>
                              <w:divsChild>
                                <w:div w:id="2036805379">
                                  <w:marLeft w:val="0"/>
                                  <w:marRight w:val="0"/>
                                  <w:marTop w:val="0"/>
                                  <w:marBottom w:val="0"/>
                                  <w:divBdr>
                                    <w:top w:val="none" w:sz="0" w:space="0" w:color="auto"/>
                                    <w:left w:val="none" w:sz="0" w:space="0" w:color="auto"/>
                                    <w:bottom w:val="none" w:sz="0" w:space="0" w:color="auto"/>
                                    <w:right w:val="none" w:sz="0" w:space="0" w:color="auto"/>
                                  </w:divBdr>
                                  <w:divsChild>
                                    <w:div w:id="1035886241">
                                      <w:marLeft w:val="0"/>
                                      <w:marRight w:val="0"/>
                                      <w:marTop w:val="0"/>
                                      <w:marBottom w:val="0"/>
                                      <w:divBdr>
                                        <w:top w:val="none" w:sz="0" w:space="0" w:color="auto"/>
                                        <w:left w:val="none" w:sz="0" w:space="0" w:color="auto"/>
                                        <w:bottom w:val="none" w:sz="0" w:space="0" w:color="auto"/>
                                        <w:right w:val="none" w:sz="0" w:space="0" w:color="auto"/>
                                      </w:divBdr>
                                      <w:divsChild>
                                        <w:div w:id="20284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882131">
      <w:bodyDiv w:val="1"/>
      <w:marLeft w:val="0"/>
      <w:marRight w:val="0"/>
      <w:marTop w:val="0"/>
      <w:marBottom w:val="0"/>
      <w:divBdr>
        <w:top w:val="none" w:sz="0" w:space="0" w:color="auto"/>
        <w:left w:val="none" w:sz="0" w:space="0" w:color="auto"/>
        <w:bottom w:val="none" w:sz="0" w:space="0" w:color="auto"/>
        <w:right w:val="none" w:sz="0" w:space="0" w:color="auto"/>
      </w:divBdr>
    </w:div>
    <w:div w:id="1915355836">
      <w:bodyDiv w:val="1"/>
      <w:marLeft w:val="0"/>
      <w:marRight w:val="0"/>
      <w:marTop w:val="0"/>
      <w:marBottom w:val="0"/>
      <w:divBdr>
        <w:top w:val="none" w:sz="0" w:space="0" w:color="auto"/>
        <w:left w:val="none" w:sz="0" w:space="0" w:color="auto"/>
        <w:bottom w:val="none" w:sz="0" w:space="0" w:color="auto"/>
        <w:right w:val="none" w:sz="0" w:space="0" w:color="auto"/>
      </w:divBdr>
    </w:div>
    <w:div w:id="1964381003">
      <w:bodyDiv w:val="1"/>
      <w:marLeft w:val="0"/>
      <w:marRight w:val="0"/>
      <w:marTop w:val="0"/>
      <w:marBottom w:val="0"/>
      <w:divBdr>
        <w:top w:val="none" w:sz="0" w:space="0" w:color="auto"/>
        <w:left w:val="none" w:sz="0" w:space="0" w:color="auto"/>
        <w:bottom w:val="none" w:sz="0" w:space="0" w:color="auto"/>
        <w:right w:val="none" w:sz="0" w:space="0" w:color="auto"/>
      </w:divBdr>
    </w:div>
    <w:div w:id="2140953797">
      <w:bodyDiv w:val="1"/>
      <w:marLeft w:val="0"/>
      <w:marRight w:val="0"/>
      <w:marTop w:val="0"/>
      <w:marBottom w:val="0"/>
      <w:divBdr>
        <w:top w:val="none" w:sz="0" w:space="0" w:color="auto"/>
        <w:left w:val="none" w:sz="0" w:space="0" w:color="auto"/>
        <w:bottom w:val="none" w:sz="0" w:space="0" w:color="auto"/>
        <w:right w:val="none" w:sz="0" w:space="0" w:color="auto"/>
      </w:divBdr>
    </w:div>
    <w:div w:id="21466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center.regione.emilia-romagna.it/noti-er-ordini-ddt-fatture/noti-er-informazioni-generali" TargetMode="External"/><Relationship Id="rId5" Type="http://schemas.openxmlformats.org/officeDocument/2006/relationships/styles" Target="styles.xml"/><Relationship Id="rId10" Type="http://schemas.openxmlformats.org/officeDocument/2006/relationships/hyperlink" Target="https://poloarchivistico.regione.emilia-romagna.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10E685E51D8A47B7E036F55F4004D6" ma:contentTypeVersion="5" ma:contentTypeDescription="Creare un nuovo documento." ma:contentTypeScope="" ma:versionID="a78c937be4e00da4626216032df9233c">
  <xsd:schema xmlns:xsd="http://www.w3.org/2001/XMLSchema" xmlns:xs="http://www.w3.org/2001/XMLSchema" xmlns:p="http://schemas.microsoft.com/office/2006/metadata/properties" xmlns:ns2="25fb6c59-1b72-414c-97d9-c58b06a860d1" xmlns:ns3="45210abf-edb2-49fb-9d5c-d9f01f889518" targetNamespace="http://schemas.microsoft.com/office/2006/metadata/properties" ma:root="true" ma:fieldsID="3c28df48e3700aa4a6e248b28f6aabf0" ns2:_="" ns3:_="">
    <xsd:import namespace="25fb6c59-1b72-414c-97d9-c58b06a860d1"/>
    <xsd:import namespace="45210abf-edb2-49fb-9d5c-d9f01f889518"/>
    <xsd:element name="properties">
      <xsd:complexType>
        <xsd:sequence>
          <xsd:element name="documentManagement">
            <xsd:complexType>
              <xsd:all>
                <xsd:element ref="ns2:SharedWithUsers" minOccurs="0"/>
                <xsd:element ref="ns3:_bpm_StatoId" minOccurs="0"/>
                <xsd:element ref="ns3:_bpm_OperazioneId" minOccurs="0"/>
                <xsd:element ref="ns3:_bpm_ErroreId" minOccurs="0"/>
                <xsd:element ref="ns3:_bpm_Sinte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b6c59-1b72-414c-97d9-c58b06a860d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10abf-edb2-49fb-9d5c-d9f01f889518" elementFormDefault="qualified">
    <xsd:import namespace="http://schemas.microsoft.com/office/2006/documentManagement/types"/>
    <xsd:import namespace="http://schemas.microsoft.com/office/infopath/2007/PartnerControls"/>
    <xsd:element name="_bpm_StatoId" ma:index="9" nillable="true" ma:displayName="_bpm_StatoId" ma:internalName="_bpm_StatoId" ma:readOnly="true">
      <xsd:simpleType>
        <xsd:restriction base="dms:Text"/>
      </xsd:simpleType>
    </xsd:element>
    <xsd:element name="_bpm_OperazioneId" ma:index="10" nillable="true" ma:displayName="_bpm_OperazioneId" ma:internalName="_bpm_OperazioneId" ma:readOnly="true">
      <xsd:simpleType>
        <xsd:restriction base="dms:Text"/>
      </xsd:simpleType>
    </xsd:element>
    <xsd:element name="_bpm_ErroreId" ma:index="11" nillable="true" ma:displayName="_bpm_ErroreId" ma:internalName="_bpm_ErroreId" ma:readOnly="true">
      <xsd:simpleType>
        <xsd:restriction base="dms:Text"/>
      </xsd:simpleType>
    </xsd:element>
    <xsd:element name="_bpm_Sintesi" ma:index="12" nillable="true" ma:displayName="Firma" ma:internalName="_bpm_Sintesi"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B373-BAD8-44D2-8662-A4CB55B43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b6c59-1b72-414c-97d9-c58b06a860d1"/>
    <ds:schemaRef ds:uri="45210abf-edb2-49fb-9d5c-d9f01f889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2F216-4E22-4D54-B9FB-9E77093A2F8B}">
  <ds:schemaRefs>
    <ds:schemaRef ds:uri="http://schemas.microsoft.com/sharepoint/v3/contenttype/forms"/>
  </ds:schemaRefs>
</ds:datastoreItem>
</file>

<file path=customXml/itemProps3.xml><?xml version="1.0" encoding="utf-8"?>
<ds:datastoreItem xmlns:ds="http://schemas.openxmlformats.org/officeDocument/2006/customXml" ds:itemID="{806A0274-2B6E-4945-91CD-8CA04223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Pages>
  <Words>3454</Words>
  <Characters>19691</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Visti:</vt:lpstr>
      <vt:lpstr>Visti:</vt:lpstr>
    </vt:vector>
  </TitlesOfParts>
  <Company>Intercent-ER</Company>
  <LinksUpToDate>false</LinksUpToDate>
  <CharactersWithSpaces>23099</CharactersWithSpaces>
  <SharedDoc>false</SharedDoc>
  <HLinks>
    <vt:vector size="18" baseType="variant">
      <vt:variant>
        <vt:i4>1507417</vt:i4>
      </vt:variant>
      <vt:variant>
        <vt:i4>6</vt:i4>
      </vt:variant>
      <vt:variant>
        <vt:i4>0</vt:i4>
      </vt:variant>
      <vt:variant>
        <vt:i4>5</vt:i4>
      </vt:variant>
      <vt:variant>
        <vt:lpwstr>http://intercenter.regione.emilia-romagna.it/noti-er-fatturazione-elettronica/noti-er-informazioni-generali/come-aderire-sintesi/come-aderire-pa/noti-er-come-aderire</vt:lpwstr>
      </vt:variant>
      <vt:variant>
        <vt:lpwstr/>
      </vt:variant>
      <vt:variant>
        <vt:i4>3932211</vt:i4>
      </vt:variant>
      <vt:variant>
        <vt:i4>3</vt:i4>
      </vt:variant>
      <vt:variant>
        <vt:i4>0</vt:i4>
      </vt:variant>
      <vt:variant>
        <vt:i4>5</vt:i4>
      </vt:variant>
      <vt:variant>
        <vt:lpwstr>http://parer.ibc.regione.emilia-romagna.it/</vt:lpwstr>
      </vt:variant>
      <vt:variant>
        <vt:lpwstr/>
      </vt:variant>
      <vt:variant>
        <vt:i4>1507417</vt:i4>
      </vt:variant>
      <vt:variant>
        <vt:i4>0</vt:i4>
      </vt:variant>
      <vt:variant>
        <vt:i4>0</vt:i4>
      </vt:variant>
      <vt:variant>
        <vt:i4>5</vt:i4>
      </vt:variant>
      <vt:variant>
        <vt:lpwstr>http://intercenter.regione.emilia-romagna.it/noti-er-fatturazione-elettronica/noti-er-informazioni-generali/come-aderire-sintesi/come-aderire-pa/noti-er-come-aderire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Visti:</dc:title>
  <dc:subject>Regolamento NOTIER</dc:subject>
  <dc:creator/>
  <cp:keywords/>
  <cp:lastModifiedBy>Renzoni Antonella</cp:lastModifiedBy>
  <cp:revision>123</cp:revision>
  <cp:lastPrinted>2015-03-20T11:52:00Z</cp:lastPrinted>
  <dcterms:created xsi:type="dcterms:W3CDTF">2018-04-26T10:44:00Z</dcterms:created>
  <dcterms:modified xsi:type="dcterms:W3CDTF">2025-04-03T09:39:00Z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0x010100DA10E685E51D8A47B7E036F55F4004D6</vt:lpwstr>
  </property>
  <property fmtid="{D5CDD505-2E9C-101B-9397-08002B2CF9AE}" pid="3" name="MSIP_Label_b244f673-923e-4cdb-8bf1-dfcce5b5c514_Enabled">
    <vt:lpwstr>True</vt:lpwstr>
  </property>
  <property fmtid="{D5CDD505-2E9C-101B-9397-08002B2CF9AE}" pid="4" name="MSIP_Label_b244f673-923e-4cdb-8bf1-dfcce5b5c514_SiteId">
    <vt:lpwstr>36da45f1-dd2c-4d1f-af13-5abe46b99921</vt:lpwstr>
  </property>
  <property fmtid="{D5CDD505-2E9C-101B-9397-08002B2CF9AE}" pid="5" name="MSIP_Label_b244f673-923e-4cdb-8bf1-dfcce5b5c514_Owner">
    <vt:lpwstr>gcetrini@deloitte.it</vt:lpwstr>
  </property>
  <property fmtid="{D5CDD505-2E9C-101B-9397-08002B2CF9AE}" pid="6" name="MSIP_Label_b244f673-923e-4cdb-8bf1-dfcce5b5c514_SetDate">
    <vt:lpwstr>2020-11-02T14:25:39.5934524Z</vt:lpwstr>
  </property>
  <property fmtid="{D5CDD505-2E9C-101B-9397-08002B2CF9AE}" pid="7" name="MSIP_Label_b244f673-923e-4cdb-8bf1-dfcce5b5c514_Name">
    <vt:lpwstr>Confidential</vt:lpwstr>
  </property>
  <property fmtid="{D5CDD505-2E9C-101B-9397-08002B2CF9AE}" pid="8" name="MSIP_Label_b244f673-923e-4cdb-8bf1-dfcce5b5c514_Application">
    <vt:lpwstr>Microsoft Azure Information Protection</vt:lpwstr>
  </property>
  <property fmtid="{D5CDD505-2E9C-101B-9397-08002B2CF9AE}" pid="9" name="MSIP_Label_b244f673-923e-4cdb-8bf1-dfcce5b5c514_ActionId">
    <vt:lpwstr>5e3d001e-b924-4fe4-b104-b2c95c28fbb8</vt:lpwstr>
  </property>
  <property fmtid="{D5CDD505-2E9C-101B-9397-08002B2CF9AE}" pid="10" name="MSIP_Label_b244f673-923e-4cdb-8bf1-dfcce5b5c514_Extended_MSFT_Method">
    <vt:lpwstr>Automatic</vt:lpwstr>
  </property>
  <property fmtid="{D5CDD505-2E9C-101B-9397-08002B2CF9AE}" pid="11" name="MSIP_Label_ea60d57e-af5b-4752-ac57-3e4f28ca11dc_Enabled">
    <vt:lpwstr>True</vt:lpwstr>
  </property>
  <property fmtid="{D5CDD505-2E9C-101B-9397-08002B2CF9AE}" pid="12" name="MSIP_Label_ea60d57e-af5b-4752-ac57-3e4f28ca11dc_SiteId">
    <vt:lpwstr>36da45f1-dd2c-4d1f-af13-5abe46b99921</vt:lpwstr>
  </property>
  <property fmtid="{D5CDD505-2E9C-101B-9397-08002B2CF9AE}" pid="13" name="MSIP_Label_ea60d57e-af5b-4752-ac57-3e4f28ca11dc_Owner">
    <vt:lpwstr>gcetrini@deloitte.it</vt:lpwstr>
  </property>
  <property fmtid="{D5CDD505-2E9C-101B-9397-08002B2CF9AE}" pid="14" name="MSIP_Label_ea60d57e-af5b-4752-ac57-3e4f28ca11dc_SetDate">
    <vt:lpwstr>2020-11-02T14:25:39.5934524Z</vt:lpwstr>
  </property>
  <property fmtid="{D5CDD505-2E9C-101B-9397-08002B2CF9AE}" pid="15" name="MSIP_Label_ea60d57e-af5b-4752-ac57-3e4f28ca11dc_Name">
    <vt:lpwstr>No Additional Protection</vt:lpwstr>
  </property>
  <property fmtid="{D5CDD505-2E9C-101B-9397-08002B2CF9AE}" pid="16" name="MSIP_Label_ea60d57e-af5b-4752-ac57-3e4f28ca11dc_Application">
    <vt:lpwstr>Microsoft Azure Information Protection</vt:lpwstr>
  </property>
  <property fmtid="{D5CDD505-2E9C-101B-9397-08002B2CF9AE}" pid="17" name="MSIP_Label_ea60d57e-af5b-4752-ac57-3e4f28ca11dc_ActionId">
    <vt:lpwstr>5e3d001e-b924-4fe4-b104-b2c95c28fbb8</vt:lpwstr>
  </property>
  <property fmtid="{D5CDD505-2E9C-101B-9397-08002B2CF9AE}" pid="18" name="MSIP_Label_ea60d57e-af5b-4752-ac57-3e4f28ca11dc_Parent">
    <vt:lpwstr>b244f673-923e-4cdb-8bf1-dfcce5b5c514</vt:lpwstr>
  </property>
  <property fmtid="{D5CDD505-2E9C-101B-9397-08002B2CF9AE}" pid="19" name="MSIP_Label_ea60d57e-af5b-4752-ac57-3e4f28ca11dc_Extended_MSFT_Method">
    <vt:lpwstr>Automatic</vt:lpwstr>
  </property>
  <property fmtid="{D5CDD505-2E9C-101B-9397-08002B2CF9AE}" pid="20" name="Sensitivity">
    <vt:lpwstr>Confidential No Additional Protection</vt:lpwstr>
  </property>
</Properties>
</file>